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center"/>
        <w:rPr>
          <w:b/>
          <w:bCs/>
        </w:rPr>
      </w:pPr>
      <w:r>
        <w:rPr>
          <w:b/>
          <w:bCs/>
          <w:sz w:val="24"/>
          <w:szCs w:val="24"/>
        </w:rPr>
        <w:t>住建部二批禁限目录以及地方最新文件汇总</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rFonts w:hint="eastAsia"/>
          <w:sz w:val="24"/>
          <w:szCs w:val="24"/>
          <w:lang w:val="en-US" w:eastAsia="zh-CN"/>
        </w:rPr>
        <w:t xml:space="preserve"> </w:t>
      </w:r>
      <w:r>
        <w:rPr>
          <w:sz w:val="24"/>
          <w:szCs w:val="24"/>
        </w:rPr>
        <w:t>住建部印发《房屋建筑和市政基础设施工程危及生产安全施工工艺、设备和材料淘汰目录（第一批）》已经正式实施，第一批目录</w:t>
      </w:r>
      <w:r>
        <w:rPr>
          <w:rStyle w:val="6"/>
          <w:color w:val="FF0000"/>
          <w:sz w:val="24"/>
          <w:szCs w:val="24"/>
        </w:rPr>
        <w:t>共淘汰22项施工工艺、设备和材料</w:t>
      </w:r>
      <w:r>
        <w:rPr>
          <w:sz w:val="24"/>
          <w:szCs w:val="24"/>
        </w:rPr>
        <w:t>。</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leftChars="0" w:right="0" w:firstLine="0" w:firstLineChars="0"/>
      </w:pPr>
      <w:r>
        <w:rPr>
          <w:rFonts w:hint="eastAsia"/>
          <w:sz w:val="24"/>
          <w:szCs w:val="24"/>
          <w:lang w:val="en-US" w:eastAsia="zh-CN"/>
        </w:rPr>
        <w:t xml:space="preserve"> </w:t>
      </w:r>
      <w:r>
        <w:rPr>
          <w:sz w:val="24"/>
          <w:szCs w:val="24"/>
        </w:rPr>
        <w:t>2022年11月，住建部官网发布《关于《房屋市政工程禁止和限制使用技术目录（2022年版）（征求意见稿）》公开征求意见的通知》，</w:t>
      </w:r>
      <w:r>
        <w:rPr>
          <w:rStyle w:val="6"/>
          <w:color w:val="FF0000"/>
          <w:sz w:val="24"/>
          <w:szCs w:val="24"/>
        </w:rPr>
        <w:t>拟禁限使用26项技术</w:t>
      </w:r>
      <w:r>
        <w:rPr>
          <w:sz w:val="24"/>
          <w:szCs w:val="24"/>
        </w:rPr>
        <w:t>。</w:t>
      </w:r>
    </w:p>
    <w:tbl>
      <w:tblPr>
        <w:tblStyle w:val="4"/>
        <w:tblpPr w:leftFromText="180" w:rightFromText="180" w:vertAnchor="text" w:horzAnchor="page" w:tblpXSpec="center" w:tblpY="311"/>
        <w:tblOverlap w:val="never"/>
        <w:tblW w:w="101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765"/>
        <w:gridCol w:w="4215"/>
        <w:gridCol w:w="2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10155" w:type="dxa"/>
            <w:gridSpan w:val="3"/>
            <w:tcBorders>
              <w:top w:val="single" w:color="972921" w:sz="6" w:space="0"/>
              <w:left w:val="single" w:color="972921" w:sz="6" w:space="0"/>
              <w:bottom w:val="single" w:color="972921" w:sz="6" w:space="0"/>
              <w:right w:val="single" w:color="972921" w:sz="6" w:space="0"/>
            </w:tcBorders>
            <w:shd w:val="clear" w:color="auto" w:fill="AC1D10"/>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FFFFFF"/>
                <w:sz w:val="27"/>
                <w:szCs w:val="27"/>
              </w:rPr>
            </w:pPr>
            <w:r>
              <w:rPr>
                <w:rStyle w:val="6"/>
                <w:rFonts w:ascii="宋体" w:hAnsi="宋体" w:eastAsia="宋体" w:cs="宋体"/>
                <w:color w:val="FFFFFF"/>
                <w:kern w:val="0"/>
                <w:sz w:val="27"/>
                <w:szCs w:val="27"/>
                <w:lang w:val="en-US" w:eastAsia="zh-CN" w:bidi="ar"/>
              </w:rPr>
              <w:t>国家及地方建设领域禁限目录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10155" w:type="dxa"/>
            <w:gridSpan w:val="3"/>
            <w:tcBorders>
              <w:top w:val="single" w:color="972921" w:sz="6" w:space="0"/>
              <w:left w:val="single" w:color="972921" w:sz="6" w:space="0"/>
              <w:bottom w:val="single" w:color="972921" w:sz="6" w:space="0"/>
              <w:right w:val="single" w:color="972921" w:sz="6" w:space="0"/>
            </w:tcBorders>
            <w:shd w:val="clear" w:color="auto" w:fill="FCB3AB"/>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376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sz w:val="21"/>
                <w:szCs w:val="21"/>
              </w:rPr>
            </w:pPr>
            <w:r>
              <w:rPr>
                <w:rStyle w:val="6"/>
                <w:rFonts w:ascii="宋体" w:hAnsi="宋体" w:eastAsia="宋体" w:cs="宋体"/>
                <w:color w:val="AC1D10"/>
                <w:kern w:val="0"/>
                <w:sz w:val="21"/>
                <w:szCs w:val="21"/>
                <w:lang w:val="en-US" w:eastAsia="zh-CN" w:bidi="ar"/>
              </w:rPr>
              <w:t>地区</w:t>
            </w:r>
          </w:p>
        </w:tc>
        <w:tc>
          <w:tcPr>
            <w:tcW w:w="421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sz w:val="21"/>
                <w:szCs w:val="21"/>
              </w:rPr>
            </w:pPr>
            <w:r>
              <w:rPr>
                <w:rStyle w:val="6"/>
                <w:rFonts w:ascii="宋体" w:hAnsi="宋体" w:eastAsia="宋体" w:cs="宋体"/>
                <w:color w:val="AC1D10"/>
                <w:kern w:val="0"/>
                <w:sz w:val="21"/>
                <w:szCs w:val="21"/>
                <w:lang w:val="en-US" w:eastAsia="zh-CN" w:bidi="ar"/>
              </w:rPr>
              <w:t>文件名字</w:t>
            </w:r>
          </w:p>
        </w:tc>
        <w:tc>
          <w:tcPr>
            <w:tcW w:w="217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sz w:val="21"/>
                <w:szCs w:val="21"/>
              </w:rPr>
            </w:pPr>
            <w:r>
              <w:rPr>
                <w:rStyle w:val="6"/>
                <w:rFonts w:ascii="宋体" w:hAnsi="宋体" w:eastAsia="宋体" w:cs="宋体"/>
                <w:color w:val="AC1D10"/>
                <w:kern w:val="0"/>
                <w:sz w:val="21"/>
                <w:szCs w:val="21"/>
                <w:lang w:val="en-US" w:eastAsia="zh-CN" w:bidi="ar"/>
              </w:rPr>
              <w:t>印发日期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376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sz w:val="18"/>
                <w:szCs w:val="18"/>
              </w:rPr>
            </w:pPr>
            <w:r>
              <w:rPr>
                <w:rFonts w:ascii="宋体" w:hAnsi="宋体" w:eastAsia="宋体" w:cs="宋体"/>
                <w:color w:val="000000"/>
                <w:kern w:val="0"/>
                <w:sz w:val="21"/>
                <w:szCs w:val="21"/>
                <w:lang w:val="en-US" w:eastAsia="zh-CN" w:bidi="ar"/>
              </w:rPr>
              <w:t>国家</w:t>
            </w:r>
          </w:p>
        </w:tc>
        <w:tc>
          <w:tcPr>
            <w:tcW w:w="421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sz w:val="18"/>
                <w:szCs w:val="18"/>
              </w:rPr>
            </w:pPr>
            <w:r>
              <w:rPr>
                <w:rFonts w:ascii="宋体" w:hAnsi="宋体" w:eastAsia="宋体" w:cs="宋体"/>
                <w:color w:val="56595D"/>
                <w:spacing w:val="0"/>
                <w:kern w:val="0"/>
                <w:sz w:val="21"/>
                <w:szCs w:val="21"/>
                <w:lang w:val="en-US" w:eastAsia="zh-CN" w:bidi="ar"/>
              </w:rPr>
              <w:t>住房和城乡建设部办公厅关于《房屋市政工程禁止和限制使用技术目录（2022年版）（征求意见稿）》公开征求意见的通知</w:t>
            </w:r>
          </w:p>
        </w:tc>
        <w:tc>
          <w:tcPr>
            <w:tcW w:w="217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sz w:val="18"/>
                <w:szCs w:val="18"/>
              </w:rPr>
            </w:pPr>
            <w:r>
              <w:rPr>
                <w:rFonts w:hint="eastAsia" w:ascii="微软雅黑" w:hAnsi="微软雅黑" w:eastAsia="微软雅黑" w:cs="微软雅黑"/>
                <w:color w:val="000000"/>
                <w:spacing w:val="0"/>
                <w:kern w:val="0"/>
                <w:sz w:val="21"/>
                <w:szCs w:val="21"/>
                <w:lang w:val="en-US" w:eastAsia="zh-CN" w:bidi="ar"/>
              </w:rPr>
              <w:t>2022年11月10日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376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sz w:val="18"/>
                <w:szCs w:val="18"/>
              </w:rPr>
            </w:pPr>
            <w:r>
              <w:rPr>
                <w:rFonts w:ascii="宋体" w:hAnsi="宋体" w:eastAsia="宋体" w:cs="宋体"/>
                <w:color w:val="000000"/>
                <w:kern w:val="0"/>
                <w:sz w:val="21"/>
                <w:szCs w:val="21"/>
                <w:lang w:val="en-US" w:eastAsia="zh-CN" w:bidi="ar"/>
              </w:rPr>
              <w:t>国家</w:t>
            </w:r>
          </w:p>
        </w:tc>
        <w:tc>
          <w:tcPr>
            <w:tcW w:w="421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color w:val="56595D"/>
                <w:spacing w:val="0"/>
                <w:sz w:val="21"/>
                <w:szCs w:val="21"/>
              </w:rPr>
              <w:t>住房和城乡建设部关于发布《房屋建筑和市政基础设施工程危及生产安全施工工艺、设备和材料淘汰目录（第一批）》的公告（中华人民共和国住房和城乡建设部公告2021年第214号）</w:t>
            </w:r>
          </w:p>
        </w:tc>
        <w:tc>
          <w:tcPr>
            <w:tcW w:w="217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sz w:val="18"/>
                <w:szCs w:val="18"/>
              </w:rPr>
            </w:pPr>
            <w:r>
              <w:rPr>
                <w:rFonts w:hint="eastAsia" w:ascii="微软雅黑" w:hAnsi="微软雅黑" w:eastAsia="微软雅黑" w:cs="微软雅黑"/>
                <w:color w:val="000000"/>
                <w:spacing w:val="0"/>
                <w:kern w:val="0"/>
                <w:sz w:val="21"/>
                <w:szCs w:val="21"/>
                <w:lang w:val="en-US" w:eastAsia="zh-CN" w:bidi="ar"/>
              </w:rPr>
              <w:t>2021年12月14日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76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rPr>
            </w:pPr>
            <w:r>
              <w:rPr>
                <w:rFonts w:ascii="宋体" w:hAnsi="宋体" w:eastAsia="宋体" w:cs="宋体"/>
                <w:color w:val="000000"/>
                <w:kern w:val="0"/>
                <w:sz w:val="21"/>
                <w:szCs w:val="21"/>
                <w:lang w:val="en-US" w:eastAsia="zh-CN" w:bidi="ar"/>
              </w:rPr>
              <w:t>浙江</w:t>
            </w:r>
          </w:p>
        </w:tc>
        <w:tc>
          <w:tcPr>
            <w:tcW w:w="421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color w:val="56595D"/>
                <w:spacing w:val="0"/>
                <w:sz w:val="21"/>
                <w:szCs w:val="21"/>
              </w:rPr>
              <w:t>浙江省住房和城乡建设厅关于《浙江省建设领域“十四五”推广应用和限制、禁止使用技术公告（第一批）》的公示</w:t>
            </w:r>
          </w:p>
        </w:tc>
        <w:tc>
          <w:tcPr>
            <w:tcW w:w="217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hint="eastAsia" w:ascii="微软雅黑" w:hAnsi="微软雅黑" w:eastAsia="微软雅黑" w:cs="微软雅黑"/>
                <w:color w:val="000000"/>
                <w:kern w:val="0"/>
                <w:sz w:val="21"/>
                <w:szCs w:val="21"/>
                <w:lang w:val="en-US" w:eastAsia="zh-CN" w:bidi="ar"/>
              </w:rPr>
              <w:t>2023年4月23日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76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rPr>
            </w:pPr>
            <w:r>
              <w:rPr>
                <w:rFonts w:ascii="宋体" w:hAnsi="宋体" w:eastAsia="宋体" w:cs="宋体"/>
                <w:color w:val="000000"/>
                <w:kern w:val="0"/>
                <w:sz w:val="21"/>
                <w:szCs w:val="21"/>
                <w:lang w:val="en-US" w:eastAsia="zh-CN" w:bidi="ar"/>
              </w:rPr>
              <w:t>湖北</w:t>
            </w:r>
          </w:p>
        </w:tc>
        <w:tc>
          <w:tcPr>
            <w:tcW w:w="421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ascii="宋体" w:hAnsi="宋体" w:eastAsia="宋体" w:cs="宋体"/>
                <w:color w:val="56595D"/>
                <w:spacing w:val="0"/>
                <w:kern w:val="0"/>
                <w:sz w:val="21"/>
                <w:szCs w:val="21"/>
                <w:lang w:val="en-US" w:eastAsia="zh-CN" w:bidi="ar"/>
              </w:rPr>
              <w:t>湖北省住房和城乡建设厅关于《湖北省推广、限制和禁止使用建筑节能与绿色建筑产品、技术和设备目录》的公告（公告〔2023〕10号）</w:t>
            </w:r>
          </w:p>
        </w:tc>
        <w:tc>
          <w:tcPr>
            <w:tcW w:w="217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ascii="宋体" w:hAnsi="宋体" w:eastAsia="宋体" w:cs="宋体"/>
                <w:color w:val="56595D"/>
                <w:kern w:val="0"/>
                <w:sz w:val="24"/>
                <w:szCs w:val="24"/>
                <w:lang w:val="en-US" w:eastAsia="zh-CN" w:bidi="ar"/>
              </w:rPr>
              <w:t>2023年3月28日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76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rPr>
            </w:pPr>
            <w:r>
              <w:rPr>
                <w:rFonts w:ascii="宋体" w:hAnsi="宋体" w:eastAsia="宋体" w:cs="宋体"/>
                <w:color w:val="000000"/>
                <w:kern w:val="0"/>
                <w:sz w:val="21"/>
                <w:szCs w:val="21"/>
                <w:lang w:val="en-US" w:eastAsia="zh-CN" w:bidi="ar"/>
              </w:rPr>
              <w:t>陕西</w:t>
            </w:r>
          </w:p>
        </w:tc>
        <w:tc>
          <w:tcPr>
            <w:tcW w:w="421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ascii="宋体" w:hAnsi="宋体" w:eastAsia="宋体" w:cs="宋体"/>
                <w:color w:val="56595D"/>
                <w:spacing w:val="0"/>
                <w:kern w:val="0"/>
                <w:sz w:val="21"/>
                <w:szCs w:val="21"/>
                <w:lang w:val="en-US" w:eastAsia="zh-CN" w:bidi="ar"/>
              </w:rPr>
              <w:t>陕西省住房和城乡建设厅关于发布《陕西省建设领域推广应用及限制禁止使用技术目录（第一批）》的通知（陕建科发﹝2023﹞1号）</w:t>
            </w:r>
          </w:p>
        </w:tc>
        <w:tc>
          <w:tcPr>
            <w:tcW w:w="217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ascii="Helvetica" w:hAnsi="Helvetica" w:eastAsia="Helvetica" w:cs="Helvetica"/>
                <w:color w:val="000000"/>
                <w:kern w:val="0"/>
                <w:sz w:val="21"/>
                <w:szCs w:val="21"/>
                <w:lang w:val="en-US" w:eastAsia="zh-CN" w:bidi="ar"/>
              </w:rPr>
              <w:t>2023年1月11日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76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rPr>
            </w:pPr>
            <w:r>
              <w:rPr>
                <w:rFonts w:ascii="宋体" w:hAnsi="宋体" w:eastAsia="宋体" w:cs="宋体"/>
                <w:color w:val="000000"/>
                <w:kern w:val="0"/>
                <w:sz w:val="21"/>
                <w:szCs w:val="21"/>
                <w:lang w:val="en-US" w:eastAsia="zh-CN" w:bidi="ar"/>
              </w:rPr>
              <w:t>河北</w:t>
            </w:r>
          </w:p>
        </w:tc>
        <w:tc>
          <w:tcPr>
            <w:tcW w:w="421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ascii="宋体" w:hAnsi="宋体" w:eastAsia="宋体" w:cs="宋体"/>
                <w:color w:val="56595D"/>
                <w:spacing w:val="0"/>
                <w:kern w:val="0"/>
                <w:sz w:val="21"/>
                <w:szCs w:val="21"/>
                <w:lang w:val="en-US" w:eastAsia="zh-CN" w:bidi="ar"/>
              </w:rPr>
              <w:t>河北省住房和城乡建设厅关于印发《河北省推广、限制和禁止使用建设工程材料设备产品目录（2022年版）》的通知（冀建节科﹝2022﹞4号）</w:t>
            </w:r>
          </w:p>
        </w:tc>
        <w:tc>
          <w:tcPr>
            <w:tcW w:w="217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hint="eastAsia" w:ascii="Arial" w:hAnsi="Arial" w:eastAsia="宋体" w:cs="Arial"/>
                <w:color w:val="000000"/>
                <w:spacing w:val="0"/>
                <w:kern w:val="0"/>
                <w:sz w:val="21"/>
                <w:szCs w:val="21"/>
                <w:lang w:val="en-US" w:eastAsia="zh-CN" w:bidi="ar"/>
              </w:rPr>
              <w:t>2022年12月5日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76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rPr>
            </w:pPr>
            <w:r>
              <w:rPr>
                <w:rFonts w:ascii="宋体" w:hAnsi="宋体" w:eastAsia="宋体" w:cs="宋体"/>
                <w:color w:val="000000"/>
                <w:kern w:val="0"/>
                <w:sz w:val="21"/>
                <w:szCs w:val="21"/>
                <w:lang w:val="en-US" w:eastAsia="zh-CN" w:bidi="ar"/>
              </w:rPr>
              <w:t>四川</w:t>
            </w:r>
          </w:p>
        </w:tc>
        <w:tc>
          <w:tcPr>
            <w:tcW w:w="421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36" w:lineRule="atLeast"/>
              <w:ind w:left="0" w:right="0"/>
              <w:jc w:val="center"/>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pacing w:val="0"/>
                <w:sz w:val="21"/>
                <w:szCs w:val="21"/>
              </w:rPr>
              <w:t>四川省住房和城乡建设厅关于发布《四川省住房城乡建设领域推广应用新技术和限制、禁止使用落后技术（第一批）》的公告</w:t>
            </w:r>
          </w:p>
        </w:tc>
        <w:tc>
          <w:tcPr>
            <w:tcW w:w="217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hint="default" w:ascii="Arial" w:hAnsi="Arial" w:eastAsia="宋体" w:cs="Arial"/>
                <w:color w:val="000000"/>
                <w:spacing w:val="0"/>
                <w:kern w:val="0"/>
                <w:sz w:val="21"/>
                <w:szCs w:val="21"/>
                <w:lang w:val="en-US" w:eastAsia="zh-CN" w:bidi="ar"/>
              </w:rPr>
              <w:t>2022年11月2日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76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rPr>
            </w:pPr>
            <w:r>
              <w:rPr>
                <w:rFonts w:ascii="宋体" w:hAnsi="宋体" w:eastAsia="宋体" w:cs="宋体"/>
                <w:color w:val="000000"/>
                <w:kern w:val="0"/>
                <w:sz w:val="21"/>
                <w:szCs w:val="21"/>
                <w:lang w:val="en-US" w:eastAsia="zh-CN" w:bidi="ar"/>
              </w:rPr>
              <w:t>重庆</w:t>
            </w:r>
          </w:p>
        </w:tc>
        <w:tc>
          <w:tcPr>
            <w:tcW w:w="421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ascii="宋体" w:hAnsi="宋体" w:eastAsia="宋体" w:cs="宋体"/>
                <w:color w:val="56595D"/>
                <w:spacing w:val="0"/>
                <w:kern w:val="0"/>
                <w:sz w:val="21"/>
                <w:szCs w:val="21"/>
                <w:lang w:val="en-US" w:eastAsia="zh-CN" w:bidi="ar"/>
              </w:rPr>
              <w:t>重庆市住房和城乡建设委员会关于征求《重庆市建设领域禁止、限制使用落后技术通告（2022年版）（征求意见稿）》意见的通知</w:t>
            </w:r>
          </w:p>
        </w:tc>
        <w:tc>
          <w:tcPr>
            <w:tcW w:w="217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hint="default" w:ascii="Arial" w:hAnsi="Arial" w:eastAsia="宋体" w:cs="Arial"/>
                <w:color w:val="000000"/>
                <w:spacing w:val="0"/>
                <w:kern w:val="0"/>
                <w:sz w:val="21"/>
                <w:szCs w:val="21"/>
                <w:lang w:val="en-US" w:eastAsia="zh-CN" w:bidi="ar"/>
              </w:rPr>
              <w:t>2022年10月24日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376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AC1D10"/>
              </w:rPr>
            </w:pPr>
            <w:r>
              <w:rPr>
                <w:rFonts w:ascii="宋体" w:hAnsi="宋体" w:eastAsia="宋体" w:cs="宋体"/>
                <w:color w:val="000000"/>
                <w:kern w:val="0"/>
                <w:sz w:val="21"/>
                <w:szCs w:val="21"/>
                <w:lang w:val="en-US" w:eastAsia="zh-CN" w:bidi="ar"/>
              </w:rPr>
              <w:t>天津</w:t>
            </w:r>
          </w:p>
        </w:tc>
        <w:tc>
          <w:tcPr>
            <w:tcW w:w="421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ascii="宋体" w:hAnsi="宋体" w:eastAsia="宋体" w:cs="宋体"/>
                <w:color w:val="56595D"/>
                <w:spacing w:val="0"/>
                <w:kern w:val="0"/>
                <w:sz w:val="21"/>
                <w:szCs w:val="21"/>
                <w:lang w:val="en-US" w:eastAsia="zh-CN" w:bidi="ar"/>
              </w:rPr>
              <w:t>天津市住房城乡建设委关于对《天津市建筑节能技术、工艺、材料、设备的推广、限制和禁止使用目录（2021版）》第二次公示的通知</w:t>
            </w:r>
          </w:p>
        </w:tc>
        <w:tc>
          <w:tcPr>
            <w:tcW w:w="2175" w:type="dxa"/>
            <w:tcBorders>
              <w:top w:val="single" w:color="972921" w:sz="6" w:space="0"/>
              <w:left w:val="single" w:color="972921" w:sz="6" w:space="0"/>
              <w:bottom w:val="single" w:color="972921" w:sz="6" w:space="0"/>
              <w:right w:val="single" w:color="972921" w:sz="6" w:space="0"/>
            </w:tcBorders>
            <w:shd w:val="clear" w:color="auto" w:fill="auto"/>
            <w:tcMar>
              <w:top w:w="75" w:type="dxa"/>
              <w:left w:w="150" w:type="dxa"/>
              <w:bottom w:w="75" w:type="dxa"/>
              <w:right w:w="150" w:type="dxa"/>
            </w:tcMar>
            <w:vAlign w:val="center"/>
          </w:tcPr>
          <w:p>
            <w:pPr>
              <w:keepNext w:val="0"/>
              <w:keepLines w:val="0"/>
              <w:widowControl/>
              <w:suppressLineNumbers w:val="0"/>
              <w:wordWrap w:val="0"/>
              <w:spacing w:before="75" w:beforeAutospacing="0" w:after="75" w:afterAutospacing="0"/>
              <w:ind w:left="150" w:right="150"/>
              <w:jc w:val="center"/>
              <w:rPr>
                <w:color w:val="56595D"/>
              </w:rPr>
            </w:pPr>
            <w:r>
              <w:rPr>
                <w:rFonts w:hint="default" w:ascii="Arial" w:hAnsi="Arial" w:eastAsia="宋体" w:cs="Arial"/>
                <w:color w:val="000000"/>
                <w:spacing w:val="0"/>
                <w:kern w:val="0"/>
                <w:sz w:val="21"/>
                <w:szCs w:val="21"/>
                <w:lang w:val="en-US" w:eastAsia="zh-CN" w:bidi="ar"/>
              </w:rPr>
              <w:t>2022年9月14日</w:t>
            </w:r>
          </w:p>
        </w:tc>
      </w:tr>
    </w:tbl>
    <w:p>
      <w:pPr>
        <w:keepNext w:val="0"/>
        <w:keepLines w:val="0"/>
        <w:widowControl/>
        <w:suppressLineNumbers w:val="0"/>
        <w:jc w:val="center"/>
        <w:rPr>
          <w:rStyle w:val="6"/>
          <w:rFonts w:ascii="宋体" w:hAnsi="宋体" w:eastAsia="宋体" w:cs="宋体"/>
          <w:kern w:val="0"/>
          <w:sz w:val="24"/>
          <w:szCs w:val="24"/>
          <w:highlight w:val="red"/>
          <w:lang w:val="en-US" w:eastAsia="zh-CN" w:bidi="ar"/>
        </w:rPr>
      </w:pPr>
      <w:r>
        <w:rPr>
          <w:rStyle w:val="6"/>
          <w:rFonts w:ascii="宋体" w:hAnsi="宋体" w:eastAsia="宋体" w:cs="宋体"/>
          <w:kern w:val="0"/>
          <w:sz w:val="24"/>
          <w:szCs w:val="24"/>
          <w:highlight w:val="red"/>
          <w:lang w:val="en-US" w:eastAsia="zh-CN" w:bidi="ar"/>
        </w:rPr>
        <w:t>住建部二批禁限目录</w:t>
      </w:r>
    </w:p>
    <w:p>
      <w:pPr>
        <w:keepNext w:val="0"/>
        <w:keepLines w:val="0"/>
        <w:widowControl/>
        <w:suppressLineNumbers w:val="0"/>
        <w:jc w:val="both"/>
        <w:rPr>
          <w:color w:val="5B9BD5" w:themeColor="accent1"/>
          <w:highlight w:val="lightGray"/>
          <w14:textFill>
            <w14:solidFill>
              <w14:schemeClr w14:val="accent1"/>
            </w14:solidFill>
          </w14:textFill>
        </w:rPr>
      </w:pPr>
      <w:r>
        <w:rPr>
          <w:rStyle w:val="6"/>
          <w:rFonts w:hint="eastAsia" w:ascii="宋体" w:hAnsi="宋体" w:eastAsia="宋体" w:cs="宋体"/>
          <w:color w:val="5B9BD5" w:themeColor="accent1"/>
          <w:kern w:val="0"/>
          <w:sz w:val="24"/>
          <w:szCs w:val="24"/>
          <w:highlight w:val="lightGray"/>
          <w:lang w:val="en-US" w:eastAsia="zh-CN" w:bidi="ar"/>
          <w14:textFill>
            <w14:solidFill>
              <w14:schemeClr w14:val="accent1"/>
            </w14:solidFill>
          </w14:textFill>
        </w:rPr>
        <w:t>01共</w:t>
      </w:r>
      <w:r>
        <w:rPr>
          <w:rStyle w:val="6"/>
          <w:rFonts w:ascii="宋体" w:hAnsi="宋体" w:eastAsia="宋体" w:cs="宋体"/>
          <w:color w:val="5B9BD5" w:themeColor="accent1"/>
          <w:kern w:val="0"/>
          <w:sz w:val="24"/>
          <w:szCs w:val="24"/>
          <w:highlight w:val="lightGray"/>
          <w:lang w:val="en-US" w:eastAsia="zh-CN" w:bidi="ar"/>
          <w14:textFill>
            <w14:solidFill>
              <w14:schemeClr w14:val="accent1"/>
            </w14:solidFill>
          </w14:textFill>
        </w:rPr>
        <w:t>淘汰22项施工工艺、设备和材料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Arial" w:hAnsi="Arial" w:eastAsia="Arial" w:cs="Arial"/>
          <w:color w:val="222222"/>
          <w:spacing w:val="8"/>
        </w:rPr>
        <w:drawing>
          <wp:inline distT="0" distB="0" distL="114300" distR="114300">
            <wp:extent cx="5111750" cy="3029585"/>
            <wp:effectExtent l="0" t="0" r="12700" b="1841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4"/>
                    <a:stretch>
                      <a:fillRect/>
                    </a:stretch>
                  </pic:blipFill>
                  <pic:spPr>
                    <a:xfrm>
                      <a:off x="0" y="0"/>
                      <a:ext cx="5111750" cy="30295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Style w:val="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rStyle w:val="6"/>
          <w:sz w:val="24"/>
          <w:szCs w:val="24"/>
        </w:rPr>
        <w:t>2022年6月15日后</w:t>
      </w:r>
      <w:r>
        <w:rPr>
          <w:sz w:val="24"/>
          <w:szCs w:val="24"/>
        </w:rPr>
        <w:t>，</w:t>
      </w:r>
      <w:r>
        <w:rPr>
          <w:rStyle w:val="6"/>
          <w:color w:val="FF0000"/>
          <w:sz w:val="24"/>
          <w:szCs w:val="24"/>
        </w:rPr>
        <w:t>新开工项目不得</w:t>
      </w:r>
      <w:r>
        <w:rPr>
          <w:sz w:val="24"/>
          <w:szCs w:val="24"/>
        </w:rPr>
        <w:t>在限制条件和范围内</w:t>
      </w:r>
      <w:r>
        <w:rPr>
          <w:rStyle w:val="6"/>
          <w:color w:val="FF0000"/>
          <w:sz w:val="24"/>
          <w:szCs w:val="24"/>
        </w:rPr>
        <w:t>使用</w:t>
      </w:r>
      <w:r>
        <w:rPr>
          <w:sz w:val="24"/>
          <w:szCs w:val="24"/>
        </w:rPr>
        <w:t>本《目录》所列</w:t>
      </w:r>
      <w:r>
        <w:rPr>
          <w:rStyle w:val="6"/>
          <w:color w:val="FF0000"/>
          <w:sz w:val="24"/>
          <w:szCs w:val="24"/>
        </w:rPr>
        <w:t>限制类</w:t>
      </w:r>
      <w:r>
        <w:rPr>
          <w:sz w:val="24"/>
          <w:szCs w:val="24"/>
        </w:rPr>
        <w:t>施工工艺、设备和材料。</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rStyle w:val="6"/>
          <w:sz w:val="24"/>
          <w:szCs w:val="24"/>
        </w:rPr>
        <w:t>2022年9月15日后</w:t>
      </w:r>
      <w:r>
        <w:rPr>
          <w:sz w:val="24"/>
          <w:szCs w:val="24"/>
        </w:rPr>
        <w:t>，</w:t>
      </w:r>
      <w:r>
        <w:rPr>
          <w:rStyle w:val="6"/>
          <w:color w:val="FF0000"/>
          <w:sz w:val="24"/>
          <w:szCs w:val="24"/>
        </w:rPr>
        <w:t>全面停止在新开工项目中使用</w:t>
      </w:r>
      <w:r>
        <w:rPr>
          <w:sz w:val="24"/>
          <w:szCs w:val="24"/>
        </w:rPr>
        <w:t>本《目录》所列</w:t>
      </w:r>
      <w:r>
        <w:rPr>
          <w:rStyle w:val="6"/>
          <w:color w:val="FF0000"/>
          <w:sz w:val="24"/>
          <w:szCs w:val="24"/>
        </w:rPr>
        <w:t>禁止类</w:t>
      </w:r>
      <w:r>
        <w:rPr>
          <w:sz w:val="24"/>
          <w:szCs w:val="24"/>
        </w:rPr>
        <w:t>施工工艺、设备和材料。</w:t>
      </w:r>
    </w:p>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FFFFFF" w:themeColor="background1"/>
          <w:sz w:val="28"/>
          <w:szCs w:val="28"/>
          <w:highlight w:val="blue"/>
          <w14:textFill>
            <w14:solidFill>
              <w14:schemeClr w14:val="bg1"/>
            </w14:solidFill>
          </w14:textFill>
        </w:rPr>
      </w:pPr>
      <w:r>
        <w:rPr>
          <w:rFonts w:ascii="宋体" w:hAnsi="宋体" w:eastAsia="宋体" w:cs="宋体"/>
          <w:color w:val="FFFFFF" w:themeColor="background1"/>
          <w:kern w:val="0"/>
          <w:sz w:val="28"/>
          <w:szCs w:val="28"/>
          <w:highlight w:val="blue"/>
          <w:lang w:val="en-US" w:eastAsia="zh-CN" w:bidi="ar"/>
          <w14:textFill>
            <w14:solidFill>
              <w14:schemeClr w14:val="bg1"/>
            </w14:solidFill>
          </w14:textFill>
        </w:rPr>
        <w:t>禁止类施工工艺、设备和材料（9项）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jc w:val="left"/>
        <w:textAlignment w:val="auto"/>
        <w:rPr>
          <w:sz w:val="24"/>
          <w:szCs w:val="24"/>
        </w:rPr>
      </w:pPr>
      <w:r>
        <w:rPr>
          <w:rStyle w:val="6"/>
          <w:rFonts w:hint="eastAsia"/>
          <w:sz w:val="24"/>
          <w:szCs w:val="24"/>
          <w:lang w:val="en-US" w:eastAsia="zh-CN"/>
        </w:rPr>
        <w:t>1.</w:t>
      </w:r>
      <w:r>
        <w:rPr>
          <w:rStyle w:val="6"/>
          <w:sz w:val="24"/>
          <w:szCs w:val="24"/>
        </w:rPr>
        <w:t>现场简易制作钢筋保护层垫块工艺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jc w:val="left"/>
        <w:textAlignment w:val="auto"/>
        <w:rPr>
          <w:sz w:val="24"/>
          <w:szCs w:val="24"/>
        </w:rPr>
      </w:pPr>
      <w:r>
        <w:rPr>
          <w:rFonts w:hint="eastAsia"/>
          <w:sz w:val="24"/>
          <w:szCs w:val="24"/>
          <w:lang w:val="en-US" w:eastAsia="zh-CN"/>
        </w:rPr>
        <w:t>2.</w:t>
      </w:r>
      <w:r>
        <w:rPr>
          <w:sz w:val="24"/>
          <w:szCs w:val="24"/>
        </w:rPr>
        <w:t>卷扬机钢筋调直工艺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jc w:val="left"/>
        <w:textAlignment w:val="auto"/>
        <w:rPr>
          <w:sz w:val="24"/>
          <w:szCs w:val="24"/>
        </w:rPr>
      </w:pPr>
      <w:r>
        <w:rPr>
          <w:rStyle w:val="6"/>
          <w:rFonts w:hint="eastAsia"/>
          <w:sz w:val="24"/>
          <w:szCs w:val="24"/>
          <w:lang w:val="en-US" w:eastAsia="zh-CN"/>
        </w:rPr>
        <w:t>3.</w:t>
      </w:r>
      <w:r>
        <w:rPr>
          <w:rStyle w:val="6"/>
          <w:sz w:val="24"/>
          <w:szCs w:val="24"/>
        </w:rPr>
        <w:t>饰面砖水泥砂浆粘贴工艺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jc w:val="left"/>
        <w:textAlignment w:val="auto"/>
        <w:rPr>
          <w:sz w:val="24"/>
          <w:szCs w:val="24"/>
        </w:rPr>
      </w:pPr>
      <w:r>
        <w:rPr>
          <w:rStyle w:val="6"/>
          <w:rFonts w:hint="eastAsia"/>
          <w:sz w:val="24"/>
          <w:szCs w:val="24"/>
          <w:lang w:val="en-US" w:eastAsia="zh-CN"/>
        </w:rPr>
        <w:t>4.</w:t>
      </w:r>
      <w:r>
        <w:rPr>
          <w:rStyle w:val="6"/>
          <w:sz w:val="24"/>
          <w:szCs w:val="24"/>
        </w:rPr>
        <w:t>竹（木）脚手架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jc w:val="left"/>
        <w:textAlignment w:val="auto"/>
        <w:rPr>
          <w:sz w:val="24"/>
          <w:szCs w:val="24"/>
        </w:rPr>
      </w:pPr>
      <w:r>
        <w:rPr>
          <w:rFonts w:hint="eastAsia"/>
          <w:sz w:val="24"/>
          <w:szCs w:val="24"/>
          <w:lang w:val="en-US" w:eastAsia="zh-CN"/>
        </w:rPr>
        <w:t>5.</w:t>
      </w:r>
      <w:r>
        <w:rPr>
          <w:sz w:val="24"/>
          <w:szCs w:val="24"/>
        </w:rPr>
        <w:t>有碱速凝剂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jc w:val="left"/>
        <w:textAlignment w:val="auto"/>
        <w:rPr>
          <w:sz w:val="24"/>
          <w:szCs w:val="24"/>
        </w:rPr>
      </w:pPr>
      <w:r>
        <w:rPr>
          <w:rFonts w:hint="eastAsia"/>
          <w:sz w:val="24"/>
          <w:szCs w:val="24"/>
          <w:lang w:val="en-US" w:eastAsia="zh-CN"/>
        </w:rPr>
        <w:t>6.</w:t>
      </w:r>
      <w:r>
        <w:rPr>
          <w:sz w:val="24"/>
          <w:szCs w:val="24"/>
        </w:rPr>
        <w:t>盖梁（系梁）无漏油保险装置的液压千斤顶卸落模板工艺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jc w:val="left"/>
        <w:textAlignment w:val="auto"/>
        <w:rPr>
          <w:sz w:val="24"/>
          <w:szCs w:val="24"/>
        </w:rPr>
      </w:pPr>
      <w:r>
        <w:rPr>
          <w:rFonts w:hint="eastAsia"/>
          <w:sz w:val="24"/>
          <w:szCs w:val="24"/>
          <w:lang w:val="en-US" w:eastAsia="zh-CN"/>
        </w:rPr>
        <w:t>7.</w:t>
      </w:r>
      <w:r>
        <w:rPr>
          <w:sz w:val="24"/>
          <w:szCs w:val="24"/>
        </w:rPr>
        <w:t>空心板、箱型梁气囊内模工艺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jc w:val="left"/>
        <w:textAlignment w:val="auto"/>
        <w:rPr>
          <w:sz w:val="24"/>
          <w:szCs w:val="24"/>
        </w:rPr>
      </w:pPr>
      <w:r>
        <w:rPr>
          <w:rFonts w:hint="eastAsia"/>
          <w:sz w:val="24"/>
          <w:szCs w:val="24"/>
          <w:lang w:val="en-US" w:eastAsia="zh-CN"/>
        </w:rPr>
        <w:t>8.</w:t>
      </w:r>
      <w:r>
        <w:rPr>
          <w:sz w:val="24"/>
          <w:szCs w:val="24"/>
        </w:rPr>
        <w:t>污水检查井砖砌工艺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jc w:val="left"/>
        <w:textAlignment w:val="auto"/>
        <w:rPr>
          <w:sz w:val="24"/>
          <w:szCs w:val="24"/>
        </w:rPr>
      </w:pPr>
      <w:r>
        <w:rPr>
          <w:rFonts w:hint="eastAsia"/>
          <w:sz w:val="24"/>
          <w:szCs w:val="24"/>
          <w:lang w:val="en-US" w:eastAsia="zh-CN"/>
        </w:rPr>
        <w:t>9.</w:t>
      </w:r>
      <w:r>
        <w:rPr>
          <w:sz w:val="24"/>
          <w:szCs w:val="24"/>
        </w:rPr>
        <w:t>桥梁悬浇配重式挂篮设备</w:t>
      </w:r>
    </w:p>
    <w:p>
      <w:pPr>
        <w:keepNext w:val="0"/>
        <w:keepLines w:val="0"/>
        <w:widowControl/>
        <w:suppressLineNumbers w:val="0"/>
        <w:jc w:val="center"/>
        <w:rPr>
          <w:color w:val="FFFFFF" w:themeColor="background1"/>
          <w:sz w:val="28"/>
          <w:szCs w:val="28"/>
          <w:highlight w:val="blue"/>
          <w14:textFill>
            <w14:solidFill>
              <w14:schemeClr w14:val="bg1"/>
            </w14:solidFill>
          </w14:textFill>
        </w:rPr>
      </w:pPr>
      <w:r>
        <w:rPr>
          <w:rFonts w:ascii="宋体" w:hAnsi="宋体" w:eastAsia="宋体" w:cs="宋体"/>
          <w:color w:val="FFFFFF" w:themeColor="background1"/>
          <w:kern w:val="0"/>
          <w:sz w:val="28"/>
          <w:szCs w:val="28"/>
          <w:highlight w:val="blue"/>
          <w:lang w:val="en-US" w:eastAsia="zh-CN" w:bidi="ar"/>
          <w14:textFill>
            <w14:solidFill>
              <w14:schemeClr w14:val="bg1"/>
            </w14:solidFill>
          </w14:textFill>
        </w:rPr>
        <w:t>限制类施工工艺、设备和材料（13项）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1.</w:t>
      </w:r>
      <w:r>
        <w:rPr>
          <w:sz w:val="24"/>
          <w:szCs w:val="24"/>
        </w:rPr>
        <w:t>钢筋闪光对焊工艺。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2.</w:t>
      </w:r>
      <w:r>
        <w:rPr>
          <w:sz w:val="24"/>
          <w:szCs w:val="24"/>
        </w:rPr>
        <w:t>基桩人工挖孔工艺。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3.</w:t>
      </w:r>
      <w:r>
        <w:rPr>
          <w:sz w:val="24"/>
          <w:szCs w:val="24"/>
        </w:rPr>
        <w:t>沥青类防水卷材热熔工艺（明火施工）。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4.</w:t>
      </w:r>
      <w:r>
        <w:rPr>
          <w:sz w:val="24"/>
          <w:szCs w:val="24"/>
        </w:rPr>
        <w:t>门式钢管支撑架。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5.</w:t>
      </w:r>
      <w:r>
        <w:rPr>
          <w:sz w:val="24"/>
          <w:szCs w:val="24"/>
        </w:rPr>
        <w:t>白炽灯、碘钨灯、卤素灯。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6.</w:t>
      </w:r>
      <w:r>
        <w:rPr>
          <w:sz w:val="24"/>
          <w:szCs w:val="24"/>
        </w:rPr>
        <w:t>龙门架、井架物料提升机。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7.</w:t>
      </w:r>
      <w:r>
        <w:rPr>
          <w:sz w:val="24"/>
          <w:szCs w:val="24"/>
        </w:rPr>
        <w:t>顶管工作竖井钢木支架支护施工工艺。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8.</w:t>
      </w:r>
      <w:r>
        <w:rPr>
          <w:sz w:val="24"/>
          <w:szCs w:val="24"/>
        </w:rPr>
        <w:t>桥梁悬浇挂篮上部与底篮精轧螺纹钢吊杆连接工艺。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9.</w:t>
      </w:r>
      <w:r>
        <w:rPr>
          <w:sz w:val="24"/>
          <w:szCs w:val="24"/>
        </w:rPr>
        <w:t>数控孔道压浆设备。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10.</w:t>
      </w:r>
      <w:r>
        <w:rPr>
          <w:sz w:val="24"/>
          <w:szCs w:val="24"/>
        </w:rPr>
        <w:t>非数控预应力张拉设备。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11.</w:t>
      </w:r>
      <w:r>
        <w:rPr>
          <w:sz w:val="24"/>
          <w:szCs w:val="24"/>
        </w:rPr>
        <w:t>九格砖。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pPr>
      <w:r>
        <w:rPr>
          <w:rFonts w:hint="eastAsia"/>
          <w:sz w:val="24"/>
          <w:szCs w:val="24"/>
          <w:lang w:val="en-US" w:eastAsia="zh-CN"/>
        </w:rPr>
        <w:t>12.</w:t>
      </w:r>
      <w:r>
        <w:rPr>
          <w:sz w:val="24"/>
          <w:szCs w:val="24"/>
        </w:rPr>
        <w:t>防滑性能差的光面路面板(砖)。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sz w:val="24"/>
          <w:szCs w:val="24"/>
        </w:rPr>
      </w:pPr>
      <w:r>
        <w:rPr>
          <w:rFonts w:hint="eastAsia"/>
          <w:sz w:val="24"/>
          <w:szCs w:val="24"/>
          <w:lang w:val="en-US" w:eastAsia="zh-CN"/>
        </w:rPr>
        <w:t>13.</w:t>
      </w:r>
      <w:r>
        <w:rPr>
          <w:sz w:val="24"/>
          <w:szCs w:val="24"/>
        </w:rPr>
        <w:t>平口混凝土排水管（含钢筋混凝土管）。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p>
    <w:p>
      <w:pPr>
        <w:keepNext w:val="0"/>
        <w:keepLines w:val="0"/>
        <w:widowControl/>
        <w:suppressLineNumbers w:val="0"/>
        <w:jc w:val="center"/>
        <w:rPr>
          <w:rStyle w:val="6"/>
          <w:rFonts w:hint="eastAsia" w:ascii="微软雅黑" w:hAnsi="微软雅黑" w:eastAsia="微软雅黑" w:cs="微软雅黑"/>
          <w:color w:val="FFFFFF"/>
          <w:kern w:val="0"/>
          <w:sz w:val="24"/>
          <w:szCs w:val="24"/>
          <w:shd w:val="clear" w:fill="AB1942"/>
          <w:lang w:val="en-US" w:eastAsia="zh-CN" w:bidi="ar"/>
        </w:rPr>
      </w:pPr>
      <w:r>
        <w:rPr>
          <w:rStyle w:val="6"/>
          <w:rFonts w:hint="eastAsia" w:ascii="微软雅黑" w:hAnsi="微软雅黑" w:eastAsia="微软雅黑" w:cs="微软雅黑"/>
          <w:color w:val="FFFFFF"/>
          <w:kern w:val="0"/>
          <w:sz w:val="24"/>
          <w:szCs w:val="24"/>
          <w:shd w:val="clear" w:fill="AB1942"/>
          <w:lang w:val="en-US" w:eastAsia="zh-CN" w:bidi="ar"/>
        </w:rPr>
        <w:t>第一批全部目录如下</w:t>
      </w:r>
    </w:p>
    <w:p>
      <w:pPr>
        <w:keepNext w:val="0"/>
        <w:keepLines w:val="0"/>
        <w:widowControl/>
        <w:suppressLineNumbers w:val="0"/>
        <w:jc w:val="center"/>
        <w:rPr>
          <w:rStyle w:val="6"/>
          <w:rFonts w:hint="eastAsia" w:ascii="微软雅黑" w:hAnsi="微软雅黑" w:eastAsia="微软雅黑" w:cs="微软雅黑"/>
          <w:color w:val="FFFFFF"/>
          <w:kern w:val="0"/>
          <w:sz w:val="24"/>
          <w:szCs w:val="24"/>
          <w:shd w:val="clear" w:fill="AB1942"/>
          <w:lang w:val="en-US" w:eastAsia="zh-CN" w:bidi="ar"/>
        </w:rPr>
      </w:pPr>
      <w:r>
        <w:rPr>
          <w:rStyle w:val="6"/>
          <w:rFonts w:hint="eastAsia" w:ascii="微软雅黑" w:hAnsi="微软雅黑" w:eastAsia="微软雅黑" w:cs="微软雅黑"/>
          <w:color w:val="FFFFFF"/>
          <w:kern w:val="0"/>
          <w:sz w:val="24"/>
          <w:szCs w:val="24"/>
          <w:shd w:val="clear" w:fill="AB1942"/>
          <w:lang w:val="en-US" w:eastAsia="zh-CN" w:bidi="ar"/>
        </w:rPr>
        <w:drawing>
          <wp:inline distT="0" distB="0" distL="114300" distR="114300">
            <wp:extent cx="5162550" cy="8237220"/>
            <wp:effectExtent l="0" t="0" r="0" b="1143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5"/>
                    <a:stretch>
                      <a:fillRect/>
                    </a:stretch>
                  </pic:blipFill>
                  <pic:spPr>
                    <a:xfrm>
                      <a:off x="0" y="0"/>
                      <a:ext cx="5162550" cy="8237220"/>
                    </a:xfrm>
                    <a:prstGeom prst="rect">
                      <a:avLst/>
                    </a:prstGeom>
                  </pic:spPr>
                </pic:pic>
              </a:graphicData>
            </a:graphic>
          </wp:inline>
        </w:drawing>
      </w:r>
    </w:p>
    <w:p>
      <w:pPr>
        <w:keepNext w:val="0"/>
        <w:keepLines w:val="0"/>
        <w:widowControl/>
        <w:suppressLineNumbers w:val="0"/>
        <w:jc w:val="center"/>
        <w:rPr>
          <w:rFonts w:hint="eastAsia" w:ascii="Arial" w:hAnsi="Arial" w:eastAsia="宋体" w:cs="Arial"/>
          <w:i w:val="0"/>
          <w:caps w:val="0"/>
          <w:color w:val="222222"/>
          <w:spacing w:val="8"/>
          <w:sz w:val="25"/>
          <w:szCs w:val="25"/>
          <w:lang w:eastAsia="zh-CN"/>
        </w:rPr>
      </w:pPr>
      <w:r>
        <w:rPr>
          <w:rFonts w:hint="eastAsia" w:ascii="Arial" w:hAnsi="Arial" w:eastAsia="宋体" w:cs="Arial"/>
          <w:i w:val="0"/>
          <w:caps w:val="0"/>
          <w:color w:val="222222"/>
          <w:spacing w:val="8"/>
          <w:sz w:val="25"/>
          <w:szCs w:val="25"/>
          <w:lang w:eastAsia="zh-CN"/>
        </w:rPr>
        <w:drawing>
          <wp:inline distT="0" distB="0" distL="114300" distR="114300">
            <wp:extent cx="5222875" cy="8860790"/>
            <wp:effectExtent l="0" t="0" r="15875" b="16510"/>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pic:cNvPicPr>
                  </pic:nvPicPr>
                  <pic:blipFill>
                    <a:blip r:embed="rId6"/>
                    <a:stretch>
                      <a:fillRect/>
                    </a:stretch>
                  </pic:blipFill>
                  <pic:spPr>
                    <a:xfrm>
                      <a:off x="0" y="0"/>
                      <a:ext cx="5222875" cy="8860790"/>
                    </a:xfrm>
                    <a:prstGeom prst="rect">
                      <a:avLst/>
                    </a:prstGeom>
                  </pic:spPr>
                </pic:pic>
              </a:graphicData>
            </a:graphic>
          </wp:inline>
        </w:drawing>
      </w:r>
    </w:p>
    <w:p>
      <w:pPr>
        <w:keepNext w:val="0"/>
        <w:keepLines w:val="0"/>
        <w:widowControl/>
        <w:suppressLineNumbers w:val="0"/>
        <w:jc w:val="left"/>
        <w:rPr>
          <w:rStyle w:val="6"/>
          <w:rFonts w:ascii="宋体" w:hAnsi="宋体" w:eastAsia="宋体" w:cs="宋体"/>
          <w:kern w:val="0"/>
          <w:sz w:val="24"/>
          <w:szCs w:val="24"/>
          <w:lang w:val="en-US" w:eastAsia="zh-CN" w:bidi="ar"/>
        </w:rPr>
      </w:pPr>
      <w:r>
        <w:rPr>
          <w:rStyle w:val="6"/>
          <w:rFonts w:ascii="宋体" w:hAnsi="宋体" w:eastAsia="宋体" w:cs="宋体"/>
          <w:kern w:val="0"/>
          <w:sz w:val="24"/>
          <w:szCs w:val="24"/>
          <w:lang w:val="en-US" w:eastAsia="zh-CN" w:bidi="ar"/>
        </w:rPr>
        <w:drawing>
          <wp:inline distT="0" distB="0" distL="114300" distR="114300">
            <wp:extent cx="5271770" cy="3986530"/>
            <wp:effectExtent l="0" t="0" r="5080" b="13970"/>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7"/>
                    <a:stretch>
                      <a:fillRect/>
                    </a:stretch>
                  </pic:blipFill>
                  <pic:spPr>
                    <a:xfrm>
                      <a:off x="0" y="0"/>
                      <a:ext cx="5271770" cy="3986530"/>
                    </a:xfrm>
                    <a:prstGeom prst="rect">
                      <a:avLst/>
                    </a:prstGeom>
                  </pic:spPr>
                </pic:pic>
              </a:graphicData>
            </a:graphic>
          </wp:inline>
        </w:drawing>
      </w:r>
    </w:p>
    <w:p>
      <w:pPr>
        <w:keepNext w:val="0"/>
        <w:keepLines w:val="0"/>
        <w:widowControl/>
        <w:suppressLineNumbers w:val="0"/>
        <w:jc w:val="left"/>
        <w:rPr>
          <w:rStyle w:val="6"/>
          <w:rFonts w:ascii="宋体" w:hAnsi="宋体" w:eastAsia="宋体" w:cs="宋体"/>
          <w:kern w:val="0"/>
          <w:sz w:val="24"/>
          <w:szCs w:val="24"/>
          <w:lang w:val="en-US" w:eastAsia="zh-CN" w:bidi="ar"/>
        </w:rPr>
      </w:pPr>
    </w:p>
    <w:p>
      <w:pPr>
        <w:keepNext w:val="0"/>
        <w:keepLines w:val="0"/>
        <w:widowControl/>
        <w:suppressLineNumbers w:val="0"/>
        <w:jc w:val="left"/>
        <w:rPr>
          <w:rStyle w:val="6"/>
          <w:rFonts w:ascii="宋体" w:hAnsi="宋体" w:eastAsia="宋体" w:cs="宋体"/>
          <w:kern w:val="0"/>
          <w:sz w:val="24"/>
          <w:szCs w:val="24"/>
          <w:lang w:val="en-US" w:eastAsia="zh-CN" w:bidi="ar"/>
        </w:rPr>
      </w:pPr>
    </w:p>
    <w:p>
      <w:pPr>
        <w:keepNext w:val="0"/>
        <w:keepLines w:val="0"/>
        <w:widowControl/>
        <w:suppressLineNumbers w:val="0"/>
        <w:jc w:val="left"/>
        <w:rPr>
          <w:color w:val="5B9BD5" w:themeColor="accent1"/>
          <w:sz w:val="28"/>
          <w:szCs w:val="28"/>
          <w:highlight w:val="lightGray"/>
          <w14:textFill>
            <w14:solidFill>
              <w14:schemeClr w14:val="accent1"/>
            </w14:solidFill>
          </w14:textFill>
        </w:rPr>
      </w:pPr>
      <w:r>
        <w:rPr>
          <w:rStyle w:val="6"/>
          <w:rFonts w:ascii="宋体" w:hAnsi="宋体" w:eastAsia="宋体" w:cs="宋体"/>
          <w:color w:val="5B9BD5" w:themeColor="accent1"/>
          <w:kern w:val="0"/>
          <w:sz w:val="28"/>
          <w:szCs w:val="28"/>
          <w:highlight w:val="lightGray"/>
          <w:lang w:val="en-US" w:eastAsia="zh-CN" w:bidi="ar"/>
          <w14:textFill>
            <w14:solidFill>
              <w14:schemeClr w14:val="accent1"/>
            </w14:solidFill>
          </w14:textFill>
        </w:rPr>
        <w:t>02拟禁限使用26项技术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0" w:right="0"/>
        <w:jc w:val="center"/>
      </w:pPr>
      <w:r>
        <w:drawing>
          <wp:inline distT="0" distB="0" distL="114300" distR="114300">
            <wp:extent cx="5876925" cy="3471545"/>
            <wp:effectExtent l="0" t="0" r="9525" b="14605"/>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8"/>
                    <a:stretch>
                      <a:fillRect/>
                    </a:stretch>
                  </pic:blipFill>
                  <pic:spPr>
                    <a:xfrm>
                      <a:off x="0" y="0"/>
                      <a:ext cx="5876925" cy="347154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禁止使用技术（10项）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1.</w:t>
      </w:r>
      <w:r>
        <w:rPr>
          <w:color w:val="FF0000"/>
          <w:sz w:val="24"/>
          <w:szCs w:val="24"/>
        </w:rPr>
        <w:t>钢筋“热弯”加工工艺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2.</w:t>
      </w:r>
      <w:r>
        <w:rPr>
          <w:color w:val="FF0000"/>
          <w:sz w:val="24"/>
          <w:szCs w:val="24"/>
        </w:rPr>
        <w:t>石材及瓷板落后挂接工艺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3.</w:t>
      </w:r>
      <w:r>
        <w:rPr>
          <w:color w:val="FF0000"/>
          <w:sz w:val="24"/>
          <w:szCs w:val="24"/>
        </w:rPr>
        <w:t>简易吊机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4.</w:t>
      </w:r>
      <w:r>
        <w:rPr>
          <w:color w:val="FF0000"/>
          <w:sz w:val="24"/>
          <w:szCs w:val="24"/>
        </w:rPr>
        <w:t>手动吊篮</w:t>
      </w:r>
      <w:r>
        <w:rPr>
          <w:sz w:val="24"/>
          <w:szCs w:val="24"/>
        </w:rPr>
        <w:t>（现场组装）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5.</w:t>
      </w:r>
      <w:r>
        <w:rPr>
          <w:color w:val="FF0000"/>
          <w:sz w:val="24"/>
          <w:szCs w:val="24"/>
        </w:rPr>
        <w:t>三点式安全带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6.</w:t>
      </w:r>
      <w:r>
        <w:rPr>
          <w:sz w:val="24"/>
          <w:szCs w:val="24"/>
        </w:rPr>
        <w:t>废机油脱模剂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7.</w:t>
      </w:r>
      <w:r>
        <w:rPr>
          <w:sz w:val="24"/>
          <w:szCs w:val="24"/>
        </w:rPr>
        <w:t>纸胎油毡防水卷材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8.</w:t>
      </w:r>
      <w:r>
        <w:rPr>
          <w:sz w:val="24"/>
          <w:szCs w:val="24"/>
        </w:rPr>
        <w:t>再生料聚乙烯丙纶防水卷材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9.</w:t>
      </w:r>
      <w:r>
        <w:rPr>
          <w:sz w:val="24"/>
          <w:szCs w:val="24"/>
        </w:rPr>
        <w:t>非阻燃型密目式安全网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10</w:t>
      </w:r>
      <w:r>
        <w:rPr>
          <w:sz w:val="24"/>
          <w:szCs w:val="24"/>
        </w:rPr>
        <w:t>非耐碱型玻璃纤维网格布</w:t>
      </w:r>
    </w:p>
    <w:p>
      <w:pPr>
        <w:keepNext w:val="0"/>
        <w:keepLines w:val="0"/>
        <w:widowControl/>
        <w:suppressLineNumbers w:val="0"/>
        <w:jc w:val="left"/>
      </w:pPr>
      <w:r>
        <w:rPr>
          <w:rFonts w:ascii="宋体" w:hAnsi="宋体" w:eastAsia="宋体" w:cs="宋体"/>
          <w:kern w:val="0"/>
          <w:sz w:val="24"/>
          <w:szCs w:val="24"/>
          <w:lang w:val="en-US" w:eastAsia="zh-CN" w:bidi="ar"/>
        </w:rPr>
        <w:t>限制使用技术（16项）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1.</w:t>
      </w:r>
      <w:r>
        <w:rPr>
          <w:sz w:val="24"/>
          <w:szCs w:val="24"/>
        </w:rPr>
        <w:t>施工现场自拌砂浆/混凝土工艺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2.</w:t>
      </w:r>
      <w:r>
        <w:rPr>
          <w:sz w:val="24"/>
          <w:szCs w:val="24"/>
        </w:rPr>
        <w:t>电渣压力焊工艺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3.</w:t>
      </w:r>
      <w:r>
        <w:rPr>
          <w:sz w:val="24"/>
          <w:szCs w:val="24"/>
        </w:rPr>
        <w:t>混凝土井盖工艺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4.</w:t>
      </w:r>
      <w:r>
        <w:rPr>
          <w:sz w:val="24"/>
          <w:szCs w:val="24"/>
        </w:rPr>
        <w:t>砖砌式雨水口工艺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5.</w:t>
      </w:r>
      <w:r>
        <w:rPr>
          <w:sz w:val="24"/>
          <w:szCs w:val="24"/>
        </w:rPr>
        <w:t>干喷混凝土工艺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6.</w:t>
      </w:r>
      <w:r>
        <w:rPr>
          <w:sz w:val="24"/>
          <w:szCs w:val="24"/>
        </w:rPr>
        <w:t>砖砌化粪池工艺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7.</w:t>
      </w:r>
      <w:r>
        <w:rPr>
          <w:color w:val="FF0000"/>
          <w:sz w:val="24"/>
          <w:szCs w:val="24"/>
        </w:rPr>
        <w:t>桩头“直接凿除法”工艺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8.</w:t>
      </w:r>
      <w:r>
        <w:rPr>
          <w:color w:val="FF0000"/>
          <w:sz w:val="24"/>
          <w:szCs w:val="24"/>
        </w:rPr>
        <w:t>人工掘进顶管工艺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9.</w:t>
      </w:r>
      <w:r>
        <w:rPr>
          <w:sz w:val="24"/>
          <w:szCs w:val="24"/>
        </w:rPr>
        <w:t>水泥稳定类混合料路拌法工艺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10.</w:t>
      </w:r>
      <w:r>
        <w:rPr>
          <w:color w:val="FF0000"/>
          <w:sz w:val="24"/>
          <w:szCs w:val="24"/>
        </w:rPr>
        <w:t>锤击沉桩工艺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11.</w:t>
      </w:r>
      <w:r>
        <w:rPr>
          <w:color w:val="FF0000"/>
          <w:sz w:val="24"/>
          <w:szCs w:val="24"/>
        </w:rPr>
        <w:t>剪切式钢筋切断机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12.</w:t>
      </w:r>
      <w:r>
        <w:rPr>
          <w:color w:val="FF0000"/>
          <w:sz w:val="24"/>
          <w:szCs w:val="24"/>
        </w:rPr>
        <w:t>轮扣式脚手架、支撑架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13.</w:t>
      </w:r>
      <w:r>
        <w:rPr>
          <w:color w:val="FF0000"/>
          <w:sz w:val="24"/>
          <w:szCs w:val="24"/>
        </w:rPr>
        <w:t>扣件式钢管卸料平台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color w:val="FF0000"/>
          <w:sz w:val="24"/>
          <w:szCs w:val="24"/>
          <w:lang w:val="en-US" w:eastAsia="zh-CN"/>
        </w:rPr>
        <w:t>14.</w:t>
      </w:r>
      <w:r>
        <w:rPr>
          <w:color w:val="FF0000"/>
          <w:sz w:val="24"/>
          <w:szCs w:val="24"/>
        </w:rPr>
        <w:t>钢管扣件型附着式升降脚手架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15.</w:t>
      </w:r>
      <w:r>
        <w:rPr>
          <w:sz w:val="24"/>
          <w:szCs w:val="24"/>
        </w:rPr>
        <w:t>无机轻集料保温砂浆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120" w:afterAutospacing="0" w:line="336" w:lineRule="atLeast"/>
        <w:ind w:left="0" w:right="0"/>
      </w:pPr>
      <w:r>
        <w:rPr>
          <w:rFonts w:hint="eastAsia"/>
          <w:sz w:val="24"/>
          <w:szCs w:val="24"/>
          <w:lang w:val="en-US" w:eastAsia="zh-CN"/>
        </w:rPr>
        <w:t>16.</w:t>
      </w:r>
      <w:r>
        <w:rPr>
          <w:sz w:val="24"/>
          <w:szCs w:val="24"/>
        </w:rPr>
        <w:t>砂模铸造铸铁管和冷镀锌铸铁管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120" w:afterAutospacing="0" w:line="368" w:lineRule="atLeast"/>
        <w:ind w:left="0" w:right="0"/>
        <w:jc w:val="center"/>
        <w:rPr>
          <w:rFonts w:hint="default" w:ascii="Arial" w:hAnsi="Arial" w:eastAsia="Arial" w:cs="Arial"/>
          <w:color w:val="222222"/>
          <w:spacing w:val="8"/>
        </w:rPr>
      </w:pPr>
      <w:r>
        <w:rPr>
          <w:rStyle w:val="6"/>
          <w:rFonts w:hint="eastAsia" w:ascii="微软雅黑" w:hAnsi="微软雅黑" w:eastAsia="微软雅黑" w:cs="微软雅黑"/>
          <w:color w:val="FFFFFF"/>
          <w:spacing w:val="8"/>
          <w:sz w:val="24"/>
          <w:szCs w:val="24"/>
          <w:shd w:val="clear" w:fill="AB1942"/>
        </w:rPr>
        <w:t>第一部分禁止使用技术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Arial" w:hAnsi="Arial" w:eastAsia="宋体" w:cs="Arial"/>
          <w:color w:val="222222"/>
          <w:spacing w:val="8"/>
          <w:lang w:eastAsia="zh-CN"/>
        </w:rPr>
      </w:pPr>
      <w:r>
        <w:rPr>
          <w:rFonts w:hint="eastAsia" w:ascii="Arial" w:hAnsi="Arial" w:eastAsia="宋体" w:cs="Arial"/>
          <w:color w:val="222222"/>
          <w:spacing w:val="8"/>
          <w:lang w:eastAsia="zh-CN"/>
        </w:rPr>
        <w:drawing>
          <wp:inline distT="0" distB="0" distL="114300" distR="114300">
            <wp:extent cx="5271135" cy="8614410"/>
            <wp:effectExtent l="0" t="0" r="5715" b="15240"/>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
                    <pic:cNvPicPr>
                      <a:picLocks noChangeAspect="1"/>
                    </pic:cNvPicPr>
                  </pic:nvPicPr>
                  <pic:blipFill>
                    <a:blip r:embed="rId9"/>
                    <a:stretch>
                      <a:fillRect/>
                    </a:stretch>
                  </pic:blipFill>
                  <pic:spPr>
                    <a:xfrm>
                      <a:off x="0" y="0"/>
                      <a:ext cx="5271135" cy="86144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Arial" w:hAnsi="Arial" w:eastAsia="宋体" w:cs="Arial"/>
          <w:color w:val="222222"/>
          <w:spacing w:val="8"/>
          <w:lang w:eastAsia="zh-CN"/>
        </w:rPr>
      </w:pPr>
      <w:r>
        <w:rPr>
          <w:rFonts w:hint="eastAsia" w:ascii="Arial" w:hAnsi="Arial" w:eastAsia="宋体" w:cs="Arial"/>
          <w:color w:val="222222"/>
          <w:spacing w:val="8"/>
          <w:lang w:eastAsia="zh-CN"/>
        </w:rPr>
        <w:drawing>
          <wp:inline distT="0" distB="0" distL="114300" distR="114300">
            <wp:extent cx="5271135" cy="2894965"/>
            <wp:effectExtent l="0" t="0" r="5715" b="635"/>
            <wp:docPr id="28" name="图片 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
                    <pic:cNvPicPr>
                      <a:picLocks noChangeAspect="1"/>
                    </pic:cNvPicPr>
                  </pic:nvPicPr>
                  <pic:blipFill>
                    <a:blip r:embed="rId10"/>
                    <a:stretch>
                      <a:fillRect/>
                    </a:stretch>
                  </pic:blipFill>
                  <pic:spPr>
                    <a:xfrm>
                      <a:off x="0" y="0"/>
                      <a:ext cx="5271135" cy="289496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8" w:lineRule="atLeast"/>
        <w:ind w:left="0" w:right="0"/>
        <w:jc w:val="center"/>
        <w:rPr>
          <w:rStyle w:val="6"/>
          <w:rFonts w:hint="eastAsia" w:ascii="微软雅黑" w:hAnsi="微软雅黑" w:eastAsia="微软雅黑" w:cs="微软雅黑"/>
          <w:color w:val="FFFFFF"/>
          <w:spacing w:val="8"/>
          <w:sz w:val="24"/>
          <w:szCs w:val="24"/>
          <w:shd w:val="clear" w:fill="AB1942"/>
        </w:rPr>
      </w:pPr>
      <w:r>
        <w:rPr>
          <w:rStyle w:val="6"/>
          <w:rFonts w:hint="eastAsia" w:ascii="微软雅黑" w:hAnsi="微软雅黑" w:eastAsia="微软雅黑" w:cs="微软雅黑"/>
          <w:color w:val="FFFFFF"/>
          <w:spacing w:val="8"/>
          <w:sz w:val="24"/>
          <w:szCs w:val="24"/>
          <w:shd w:val="clear" w:fill="AB1942"/>
        </w:rPr>
        <w:t>第二部分 限制使用技术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8" w:lineRule="atLeast"/>
        <w:ind w:left="0" w:right="0"/>
        <w:jc w:val="center"/>
        <w:rPr>
          <w:rStyle w:val="6"/>
          <w:rFonts w:hint="eastAsia" w:ascii="微软雅黑" w:hAnsi="微软雅黑" w:eastAsia="微软雅黑" w:cs="微软雅黑"/>
          <w:color w:val="FFFFFF"/>
          <w:spacing w:val="8"/>
          <w:sz w:val="24"/>
          <w:szCs w:val="24"/>
          <w:shd w:val="clear" w:fill="AB1942"/>
          <w:lang w:eastAsia="zh-CN"/>
        </w:rPr>
      </w:pPr>
      <w:r>
        <w:rPr>
          <w:rStyle w:val="6"/>
          <w:rFonts w:hint="eastAsia" w:ascii="微软雅黑" w:hAnsi="微软雅黑" w:eastAsia="微软雅黑" w:cs="微软雅黑"/>
          <w:color w:val="FFFFFF"/>
          <w:spacing w:val="8"/>
          <w:sz w:val="24"/>
          <w:szCs w:val="24"/>
          <w:shd w:val="clear" w:fill="AB1942"/>
          <w:lang w:eastAsia="zh-CN"/>
        </w:rPr>
        <w:drawing>
          <wp:inline distT="0" distB="0" distL="114300" distR="114300">
            <wp:extent cx="5273675" cy="5238115"/>
            <wp:effectExtent l="0" t="0" r="3175" b="635"/>
            <wp:docPr id="29" name="图片 2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
                    <pic:cNvPicPr>
                      <a:picLocks noChangeAspect="1"/>
                    </pic:cNvPicPr>
                  </pic:nvPicPr>
                  <pic:blipFill>
                    <a:blip r:embed="rId11"/>
                    <a:stretch>
                      <a:fillRect/>
                    </a:stretch>
                  </pic:blipFill>
                  <pic:spPr>
                    <a:xfrm>
                      <a:off x="0" y="0"/>
                      <a:ext cx="5273675" cy="52381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8" w:lineRule="atLeast"/>
        <w:ind w:left="0" w:right="0"/>
        <w:jc w:val="center"/>
        <w:rPr>
          <w:rFonts w:hint="eastAsia" w:ascii="Arial" w:hAnsi="Arial" w:eastAsia="宋体" w:cs="Arial"/>
          <w:color w:val="222222"/>
          <w:spacing w:val="8"/>
          <w:lang w:eastAsia="zh-CN"/>
        </w:rPr>
      </w:pPr>
      <w:r>
        <w:rPr>
          <w:rFonts w:hint="eastAsia" w:ascii="Arial" w:hAnsi="Arial" w:eastAsia="宋体" w:cs="Arial"/>
          <w:color w:val="222222"/>
          <w:spacing w:val="8"/>
          <w:lang w:eastAsia="zh-CN"/>
        </w:rPr>
        <w:drawing>
          <wp:inline distT="0" distB="0" distL="114300" distR="114300">
            <wp:extent cx="5273675" cy="8523605"/>
            <wp:effectExtent l="0" t="0" r="3175" b="10795"/>
            <wp:docPr id="30" name="图片 3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
                    <pic:cNvPicPr>
                      <a:picLocks noChangeAspect="1"/>
                    </pic:cNvPicPr>
                  </pic:nvPicPr>
                  <pic:blipFill>
                    <a:blip r:embed="rId12"/>
                    <a:stretch>
                      <a:fillRect/>
                    </a:stretch>
                  </pic:blipFill>
                  <pic:spPr>
                    <a:xfrm>
                      <a:off x="0" y="0"/>
                      <a:ext cx="5273675" cy="852360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pacing w:val="8"/>
        </w:rPr>
      </w:pPr>
      <w:r>
        <w:rPr>
          <w:rFonts w:hint="eastAsia" w:ascii="微软雅黑" w:hAnsi="微软雅黑" w:eastAsia="微软雅黑" w:cs="微软雅黑"/>
          <w:color w:val="000000"/>
          <w:spacing w:val="8"/>
          <w:sz w:val="21"/>
          <w:szCs w:val="21"/>
        </w:rPr>
        <w:drawing>
          <wp:inline distT="0" distB="0" distL="114300" distR="114300">
            <wp:extent cx="5271135" cy="8800465"/>
            <wp:effectExtent l="0" t="0" r="5715" b="635"/>
            <wp:docPr id="31" name="图片 3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0"/>
                    <pic:cNvPicPr>
                      <a:picLocks noChangeAspect="1"/>
                    </pic:cNvPicPr>
                  </pic:nvPicPr>
                  <pic:blipFill>
                    <a:blip r:embed="rId13"/>
                    <a:stretch>
                      <a:fillRect/>
                    </a:stretch>
                  </pic:blipFill>
                  <pic:spPr>
                    <a:xfrm>
                      <a:off x="0" y="0"/>
                      <a:ext cx="5271135" cy="8800465"/>
                    </a:xfrm>
                    <a:prstGeom prst="rect">
                      <a:avLst/>
                    </a:prstGeom>
                  </pic:spPr>
                </pic:pic>
              </a:graphicData>
            </a:graphic>
          </wp:inline>
        </w:drawing>
      </w:r>
      <w:r>
        <w:rPr>
          <w:rFonts w:hint="eastAsia" w:ascii="微软雅黑" w:hAnsi="微软雅黑" w:eastAsia="微软雅黑" w:cs="微软雅黑"/>
          <w:color w:val="000000"/>
          <w:spacing w:val="8"/>
          <w:sz w:val="21"/>
          <w:szCs w:val="21"/>
        </w:rPr>
        <w:t>备注：（一）可替代的工艺、设备、材料不限于《目录》中所列名称。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60" w:afterAutospacing="0" w:line="368" w:lineRule="atLeast"/>
        <w:ind w:left="0" w:right="0"/>
        <w:rPr>
          <w:rFonts w:hint="eastAsia" w:ascii="微软雅黑" w:hAnsi="微软雅黑" w:eastAsia="微软雅黑" w:cs="微软雅黑"/>
          <w:color w:val="000000"/>
          <w:spacing w:val="8"/>
        </w:rPr>
      </w:pPr>
      <w:r>
        <w:rPr>
          <w:rFonts w:hint="eastAsia" w:ascii="微软雅黑" w:hAnsi="微软雅黑" w:eastAsia="微软雅黑" w:cs="微软雅黑"/>
          <w:color w:val="000000"/>
          <w:spacing w:val="8"/>
          <w:sz w:val="21"/>
          <w:szCs w:val="21"/>
        </w:rPr>
        <w:t>（二）本《目录》适用于《建筑工程施工许可管理办法》规定的限额以上新建、改建、扩建房屋建筑和市政工程。</w:t>
      </w:r>
    </w:p>
    <w:p>
      <w:pPr>
        <w:keepNext w:val="0"/>
        <w:keepLines w:val="0"/>
        <w:widowControl/>
        <w:suppressLineNumbers w:val="0"/>
        <w:jc w:val="center"/>
        <w:rPr>
          <w:rStyle w:val="6"/>
          <w:rFonts w:ascii="宋体" w:hAnsi="宋体" w:eastAsia="宋体" w:cs="宋体"/>
          <w:color w:val="auto"/>
          <w:kern w:val="0"/>
          <w:sz w:val="24"/>
          <w:szCs w:val="24"/>
          <w:highlight w:val="red"/>
          <w:lang w:val="en-US" w:eastAsia="zh-CN" w:bidi="ar"/>
        </w:rPr>
      </w:pPr>
      <w:r>
        <w:rPr>
          <w:rStyle w:val="6"/>
          <w:rFonts w:ascii="宋体" w:hAnsi="宋体" w:eastAsia="宋体" w:cs="宋体"/>
          <w:color w:val="auto"/>
          <w:kern w:val="0"/>
          <w:sz w:val="24"/>
          <w:szCs w:val="24"/>
          <w:highlight w:val="red"/>
          <w:lang w:val="en-US" w:eastAsia="zh-CN" w:bidi="ar"/>
        </w:rPr>
        <w:t>地方禁限目录</w:t>
      </w:r>
    </w:p>
    <w:p>
      <w:pPr>
        <w:keepNext w:val="0"/>
        <w:keepLines w:val="0"/>
        <w:widowControl/>
        <w:suppressLineNumbers w:val="0"/>
        <w:jc w:val="left"/>
        <w:rPr>
          <w:color w:val="5B9BD5" w:themeColor="accent1"/>
          <w:sz w:val="28"/>
          <w:szCs w:val="28"/>
          <w:highlight w:val="lightGray"/>
          <w14:textFill>
            <w14:solidFill>
              <w14:schemeClr w14:val="accent1"/>
            </w14:solidFill>
          </w14:textFill>
        </w:rPr>
      </w:pPr>
      <w:r>
        <w:rPr>
          <w:rStyle w:val="6"/>
          <w:rFonts w:ascii="宋体" w:hAnsi="宋体" w:eastAsia="宋体" w:cs="宋体"/>
          <w:color w:val="5B9BD5" w:themeColor="accent1"/>
          <w:kern w:val="0"/>
          <w:sz w:val="28"/>
          <w:szCs w:val="28"/>
          <w:highlight w:val="lightGray"/>
          <w:lang w:val="en-US" w:eastAsia="zh-CN" w:bidi="ar"/>
          <w14:textFill>
            <w14:solidFill>
              <w14:schemeClr w14:val="accent1"/>
            </w14:solidFill>
          </w14:textFill>
        </w:rPr>
        <w:t>01浙江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pPr>
      <w:r>
        <w:rPr>
          <w:rFonts w:hint="default" w:ascii="Arial" w:hAnsi="Arial" w:eastAsia="Arial" w:cs="Arial"/>
          <w:spacing w:val="8"/>
          <w:sz w:val="24"/>
          <w:szCs w:val="24"/>
        </w:rPr>
        <w:drawing>
          <wp:inline distT="0" distB="0" distL="114300" distR="114300">
            <wp:extent cx="5934710" cy="2341245"/>
            <wp:effectExtent l="0" t="0" r="8890" b="190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14"/>
                    <a:stretch>
                      <a:fillRect/>
                    </a:stretch>
                  </pic:blipFill>
                  <pic:spPr>
                    <a:xfrm>
                      <a:off x="0" y="0"/>
                      <a:ext cx="5934710" cy="23412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sz w:val="24"/>
          <w:szCs w:val="24"/>
        </w:rPr>
        <w:t>2023年4月，浙江省住建厅发布《关于&lt;</w:t>
      </w:r>
      <w:r>
        <w:rPr>
          <w:rStyle w:val="6"/>
          <w:sz w:val="24"/>
          <w:szCs w:val="24"/>
        </w:rPr>
        <w:t>浙江省建设领域“十四五”推广应用和限制、禁止使用技术公告（第一批）</w:t>
      </w:r>
      <w:r>
        <w:rPr>
          <w:sz w:val="24"/>
          <w:szCs w:val="24"/>
        </w:rPr>
        <w:t>&gt;的公示》,其中：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rPr>
      </w:pPr>
      <w:r>
        <w:rPr>
          <w:rFonts w:hint="eastAsia" w:ascii="微软雅黑" w:hAnsi="微软雅黑" w:eastAsia="微软雅黑" w:cs="微软雅黑"/>
          <w:color w:val="000000"/>
          <w:sz w:val="24"/>
          <w:szCs w:val="24"/>
        </w:rPr>
        <w:t>1、</w:t>
      </w:r>
      <w:r>
        <w:rPr>
          <w:rStyle w:val="6"/>
          <w:rFonts w:hint="eastAsia" w:ascii="微软雅黑" w:hAnsi="微软雅黑" w:eastAsia="微软雅黑" w:cs="微软雅黑"/>
          <w:color w:val="FF0000"/>
          <w:sz w:val="24"/>
          <w:szCs w:val="24"/>
        </w:rPr>
        <w:t>限制使用类</w:t>
      </w:r>
      <w:r>
        <w:rPr>
          <w:rFonts w:hint="eastAsia" w:ascii="微软雅黑" w:hAnsi="微软雅黑" w:eastAsia="微软雅黑" w:cs="微软雅黑"/>
          <w:color w:val="000000"/>
          <w:sz w:val="24"/>
          <w:szCs w:val="24"/>
        </w:rPr>
        <w:t>技术与产品</w:t>
      </w:r>
      <w:r>
        <w:rPr>
          <w:rStyle w:val="6"/>
          <w:rFonts w:hint="eastAsia" w:ascii="微软雅黑" w:hAnsi="微软雅黑" w:eastAsia="微软雅黑" w:cs="微软雅黑"/>
          <w:color w:val="FF0000"/>
          <w:sz w:val="24"/>
          <w:szCs w:val="24"/>
        </w:rPr>
        <w:t>31项</w:t>
      </w:r>
      <w:r>
        <w:rPr>
          <w:rFonts w:hint="eastAsia" w:ascii="微软雅黑" w:hAnsi="微软雅黑" w:eastAsia="微软雅黑" w:cs="微软雅黑"/>
          <w:color w:val="000000"/>
          <w:sz w:val="24"/>
          <w:szCs w:val="24"/>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rPr>
      </w:pPr>
      <w:r>
        <w:rPr>
          <w:rFonts w:hint="eastAsia" w:ascii="微软雅黑" w:hAnsi="微软雅黑" w:eastAsia="微软雅黑" w:cs="微软雅黑"/>
          <w:color w:val="000000"/>
          <w:sz w:val="24"/>
          <w:szCs w:val="24"/>
        </w:rPr>
        <w:t>2、</w:t>
      </w:r>
      <w:r>
        <w:rPr>
          <w:rStyle w:val="6"/>
          <w:rFonts w:hint="eastAsia" w:ascii="微软雅黑" w:hAnsi="微软雅黑" w:eastAsia="微软雅黑" w:cs="微软雅黑"/>
          <w:color w:val="FF0000"/>
          <w:sz w:val="24"/>
          <w:szCs w:val="24"/>
        </w:rPr>
        <w:t>禁止类</w:t>
      </w:r>
      <w:r>
        <w:rPr>
          <w:rFonts w:hint="eastAsia" w:ascii="微软雅黑" w:hAnsi="微软雅黑" w:eastAsia="微软雅黑" w:cs="微软雅黑"/>
          <w:color w:val="000000"/>
          <w:sz w:val="24"/>
          <w:szCs w:val="24"/>
        </w:rPr>
        <w:t>技术与产品</w:t>
      </w:r>
      <w:r>
        <w:rPr>
          <w:rStyle w:val="6"/>
          <w:rFonts w:hint="eastAsia" w:ascii="微软雅黑" w:hAnsi="微软雅黑" w:eastAsia="微软雅黑" w:cs="微软雅黑"/>
          <w:color w:val="FF0000"/>
          <w:sz w:val="24"/>
          <w:szCs w:val="24"/>
        </w:rPr>
        <w:t>57项</w:t>
      </w:r>
      <w:r>
        <w:rPr>
          <w:rFonts w:hint="eastAsia" w:ascii="微软雅黑" w:hAnsi="微软雅黑" w:eastAsia="微软雅黑" w:cs="微软雅黑"/>
          <w:color w:val="000000"/>
          <w:sz w:val="24"/>
          <w:szCs w:val="24"/>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sz w:val="24"/>
          <w:szCs w:val="24"/>
        </w:rPr>
        <w:t>具体如下：</w:t>
      </w:r>
    </w:p>
    <w:p>
      <w:pPr>
        <w:keepNext w:val="0"/>
        <w:keepLines w:val="0"/>
        <w:widowControl/>
        <w:suppressLineNumbers w:val="0"/>
        <w:jc w:val="center"/>
        <w:rPr>
          <w:color w:val="FFFFFF" w:themeColor="background1"/>
          <w:highlight w:val="blue"/>
          <w14:textFill>
            <w14:solidFill>
              <w14:schemeClr w14:val="bg1"/>
            </w14:solidFill>
          </w14:textFill>
        </w:rPr>
      </w:pPr>
      <w:r>
        <w:rPr>
          <w:rFonts w:ascii="宋体" w:hAnsi="宋体" w:eastAsia="宋体" w:cs="宋体"/>
          <w:color w:val="FFFFFF" w:themeColor="background1"/>
          <w:kern w:val="0"/>
          <w:sz w:val="24"/>
          <w:szCs w:val="24"/>
          <w:highlight w:val="blue"/>
          <w:lang w:val="en-US" w:eastAsia="zh-CN" w:bidi="ar"/>
          <w14:textFill>
            <w14:solidFill>
              <w14:schemeClr w14:val="bg1"/>
            </w14:solidFill>
          </w14:textFill>
        </w:rPr>
        <w:t>以下禁限使用：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rPr>
        <w:t>一、禁止类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 未增塑聚氯乙烯（PVC-U）单腔结构型材的塑料窗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 非硅化密封毛条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 非滚动轴承式滑轮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 用于门窗、幕墙型材的聚氯乙烯(PVC)隔热条、密封条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5 用于干挂、石材、幕墙的斜插入式挂件和T型挂件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6 坐便器（充水量大于8升/次）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7 上导向直落式水箱配件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8 螺旋升降式铸铁水嘴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9 二次生活供水用屋顶混凝土水箱、普通钢板水箱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10 硬聚氯乙烯（UPVC）给水管材、管件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11 灰口铸铁给水管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12 冷镀锌给水管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13 水封深度小于50mm的地漏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14 非耐碱玻纤生产的GRC轻质隔墙板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15 手工成型的GRC轻质隔墙板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16 非蒸压养护加气混凝土砌块和手工切割生产的加气混凝土砌块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17 菱镁类复合保温墙板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18 体积吸水率大于20%的保温材料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19 以石棉为原料的建材制品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20 沥青复合胎柔性防水卷材、胶粉改性沥青玻纤毡与玻纤网格布增强防水卷材、胶粉改性沥青玻纤毡与聚乙烯膜增强防水卷材、胶粉改性沥青聚酯毡与玻纤网格布增强防水卷材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21 煤焦油类防水材料（防水卷材、防水涂料、密封材料）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22 采用二次加热复合成型工艺或再生原料生产的聚乙烯丙纶等复合防水卷材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23 溶剂型内、外墙涂料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24 溶剂型内、外墙粘结剂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25 聚乙烯醇缩甲醛类涂料、腻子、粘结剂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26 氯乙烯-偏氯乙烯共聚乳液类外墙涂料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27 聚丙烯酰胺类建筑胶粘剂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28 氧化钙类混凝土膨胀剂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29 总碱量0.75%以上且掺入量占胶凝材料用量8%以上的膨胀剂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30 以松香皂化热聚物为主要成份的砂浆添加剂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31 纤维板模板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32 脲醛树脂生产的竹、木胶合板模板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33 </w:t>
      </w:r>
      <w:r>
        <w:rPr>
          <w:rFonts w:hint="eastAsia" w:ascii="微软雅黑" w:hAnsi="微软雅黑" w:eastAsia="微软雅黑" w:cs="微软雅黑"/>
          <w:color w:val="FF0000"/>
          <w:sz w:val="22"/>
          <w:szCs w:val="22"/>
        </w:rPr>
        <w:t>扣件式钢管悬挑卸料平台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34 </w:t>
      </w:r>
      <w:r>
        <w:rPr>
          <w:rFonts w:hint="eastAsia" w:ascii="微软雅黑" w:hAnsi="微软雅黑" w:eastAsia="微软雅黑" w:cs="微软雅黑"/>
          <w:color w:val="FF0000"/>
          <w:sz w:val="22"/>
          <w:szCs w:val="22"/>
        </w:rPr>
        <w:t>扣件式钢管井架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35</w:t>
      </w:r>
      <w:r>
        <w:rPr>
          <w:rFonts w:hint="eastAsia" w:ascii="微软雅黑" w:hAnsi="微软雅黑" w:eastAsia="微软雅黑" w:cs="微软雅黑"/>
          <w:color w:val="FF0000"/>
          <w:sz w:val="22"/>
          <w:szCs w:val="22"/>
        </w:rPr>
        <w:t> 钢管悬挑梁脚手架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36 </w:t>
      </w:r>
      <w:r>
        <w:rPr>
          <w:rFonts w:hint="eastAsia" w:ascii="微软雅黑" w:hAnsi="微软雅黑" w:eastAsia="微软雅黑" w:cs="微软雅黑"/>
          <w:color w:val="FF0000"/>
          <w:sz w:val="22"/>
          <w:szCs w:val="22"/>
        </w:rPr>
        <w:t>大模板悬挂脚手架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37 单轨井架物料提升机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38 井架简易塔式起重机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39 上回转非自升式塔式起重机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40 自制简易的或用摩擦式卷扬机驱动的钢丝绳式物料提升机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41 QTG20、QTG25、QTG30等型号的塔式起重机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42 非标钢管脚手架扣件：材质KTH330-08牌号的可锻铸铁，其重量&lt;1.10kg/套的直角型全铸铁扣件；重量&lt;1.25kg/套的旋转型全铸铁扣件和对接型全铸铁扣件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43 自制简易吊架、物料提升机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44 木制配电箱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45 石板闸刀开关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46 HK1、HK2、HK2P、HK8型闸刀开关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47 四芯电缆外加一芯、花线、胶质线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48 非标移动卷线开关盘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49 燃气用具连接用橡胶复合软管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50 燃气用具连接用金属包覆软管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51 燃气用具用插入式连接技术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52 无防窜烟措施单立（孔）管住宅共用排烟道、砖砌排烟道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53 用非耐碱玻璃纤维做增强材料的GRC住宅排烟气道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54 可燃排烟气道止回阀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55 聚丙烯加筋土挡墙拉筋带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56 现场简易制作钢筋保护层垫块工艺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rFonts w:hint="eastAsia" w:ascii="微软雅黑" w:hAnsi="微软雅黑" w:eastAsia="微软雅黑" w:cs="微软雅黑"/>
          <w:color w:val="000000"/>
        </w:rPr>
      </w:pPr>
      <w:r>
        <w:rPr>
          <w:rFonts w:hint="eastAsia" w:ascii="微软雅黑" w:hAnsi="微软雅黑" w:eastAsia="微软雅黑" w:cs="微软雅黑"/>
          <w:color w:val="000000"/>
          <w:sz w:val="22"/>
          <w:szCs w:val="22"/>
        </w:rPr>
        <w:t>57 卷扬机钢筋调直工艺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color w:val="E36C0B"/>
        </w:rPr>
        <w:t>二、限制类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 实心粘土砖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 有机板材类薄抹灰外墙外保温系统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3 喷涂类薄抹灰外墙外保温系统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4 非耐碱玻纤网格布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5 非断热金属型材制作的建筑外门窗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6 现场施打结构胶的玻璃幕墙施工工艺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7 建筑玻璃用隔热涂料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8 建筑外窗用单点执手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9 单层、非中空双层玻璃普通外门窗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10 镀锌钢管（内衬保护层的热镀锌钢管除外）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11 手触式冲洗阀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12 小便器（&gt;3L）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13 尿素型混凝土防冻剂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14 氯离子含量＞0.1%的混凝土防冻剂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15 聚乙烯丙纶（涤纶）复合防水卷材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16 溶剂型防水材料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17 人工挖孔桩(长径比≥6)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18 钢筋砖过梁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19 预应力混凝土管（D≤600mm）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20 桥面沥青弹塑体填充式伸缩缝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21桥面连续构造处橡胶片隔离层材料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22 桥梁悬浇挂篮上部与底篮精轧螺纹钢吊杆连接工艺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23 冷拔低碳钢丝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24 钢筋闪光对焊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25 电弧搭接焊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26 钢筋砂轮切断机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27 白蚁防治药物屏障技术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28 卤素灯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29 非数控孔道压浆设备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30 非数控预应力张拉设备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31沥青类防水卷材热熔工艺（明火施工）</w:t>
      </w:r>
    </w:p>
    <w:p>
      <w:pPr>
        <w:keepNext w:val="0"/>
        <w:keepLines w:val="0"/>
        <w:widowControl/>
        <w:suppressLineNumbers w:val="0"/>
        <w:jc w:val="center"/>
        <w:rPr>
          <w:color w:val="FFFFFF" w:themeColor="background1"/>
          <w:sz w:val="28"/>
          <w:szCs w:val="28"/>
          <w:highlight w:val="blue"/>
          <w14:textFill>
            <w14:solidFill>
              <w14:schemeClr w14:val="bg1"/>
            </w14:solidFill>
          </w14:textFill>
        </w:rPr>
      </w:pPr>
      <w:r>
        <w:rPr>
          <w:rFonts w:ascii="宋体" w:hAnsi="宋体" w:eastAsia="宋体" w:cs="宋体"/>
          <w:color w:val="FFFFFF" w:themeColor="background1"/>
          <w:kern w:val="0"/>
          <w:sz w:val="28"/>
          <w:szCs w:val="28"/>
          <w:highlight w:val="blue"/>
          <w:lang w:val="en-US" w:eastAsia="zh-CN" w:bidi="ar"/>
          <w14:textFill>
            <w14:solidFill>
              <w14:schemeClr w14:val="bg1"/>
            </w14:solidFill>
          </w14:textFill>
        </w:rPr>
        <w:t>以下推广使用：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1 建筑外表面用自清洁涂料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2 采用不锈钢波纹管与燃气用具相连接的技术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3 燃气用具与燃气专用软管采用螺纹连接方式的技术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4 基坑工程智慧监测技术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t>5 装配化装修技术</w:t>
      </w:r>
    </w:p>
    <w:p>
      <w:pPr>
        <w:keepNext w:val="0"/>
        <w:keepLines w:val="0"/>
        <w:widowControl/>
        <w:suppressLineNumbers w:val="0"/>
        <w:jc w:val="both"/>
        <w:rPr>
          <w:color w:val="5B9BD5" w:themeColor="accent1"/>
          <w:sz w:val="28"/>
          <w:szCs w:val="28"/>
          <w:highlight w:val="lightGray"/>
          <w14:textFill>
            <w14:solidFill>
              <w14:schemeClr w14:val="accent1"/>
            </w14:solidFill>
          </w14:textFill>
        </w:rPr>
      </w:pPr>
      <w:r>
        <w:rPr>
          <w:rStyle w:val="6"/>
          <w:rFonts w:ascii="宋体" w:hAnsi="宋体" w:eastAsia="宋体" w:cs="宋体"/>
          <w:color w:val="5B9BD5" w:themeColor="accent1"/>
          <w:kern w:val="0"/>
          <w:sz w:val="28"/>
          <w:szCs w:val="28"/>
          <w:highlight w:val="lightGray"/>
          <w:lang w:val="en-US" w:eastAsia="zh-CN" w:bidi="ar"/>
          <w14:textFill>
            <w14:solidFill>
              <w14:schemeClr w14:val="accent1"/>
            </w14:solidFill>
          </w14:textFill>
        </w:rPr>
        <w:t>02湖北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rPr>
        <w:drawing>
          <wp:inline distT="0" distB="0" distL="114300" distR="114300">
            <wp:extent cx="5415280" cy="2973705"/>
            <wp:effectExtent l="0" t="0" r="13970" b="1714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5"/>
                    <a:stretch>
                      <a:fillRect/>
                    </a:stretch>
                  </pic:blipFill>
                  <pic:spPr>
                    <a:xfrm>
                      <a:off x="0" y="0"/>
                      <a:ext cx="5415280" cy="29737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sz w:val="24"/>
          <w:szCs w:val="24"/>
        </w:rPr>
        <w:t>2023年3月，湖北省住建厅发布关于《湖北省推广、限制和禁止使用建筑节能与绿色建筑产品、技术和设备目录》的公告。</w:t>
      </w:r>
    </w:p>
    <w:p>
      <w:pPr>
        <w:keepNext w:val="0"/>
        <w:keepLines w:val="0"/>
        <w:widowControl/>
        <w:suppressLineNumbers w:val="0"/>
        <w:jc w:val="center"/>
        <w:rPr>
          <w:color w:val="FFFFFF" w:themeColor="background1"/>
          <w:sz w:val="28"/>
          <w:szCs w:val="28"/>
          <w:highlight w:val="blue"/>
          <w14:textFill>
            <w14:solidFill>
              <w14:schemeClr w14:val="bg1"/>
            </w14:solidFill>
          </w14:textFill>
        </w:rPr>
      </w:pPr>
      <w:r>
        <w:rPr>
          <w:rFonts w:ascii="宋体" w:hAnsi="宋体" w:eastAsia="宋体" w:cs="宋体"/>
          <w:color w:val="FFFFFF" w:themeColor="background1"/>
          <w:kern w:val="0"/>
          <w:sz w:val="28"/>
          <w:szCs w:val="28"/>
          <w:highlight w:val="blue"/>
          <w:lang w:val="en-US" w:eastAsia="zh-CN" w:bidi="ar"/>
          <w14:textFill>
            <w14:solidFill>
              <w14:schemeClr w14:val="bg1"/>
            </w14:solidFill>
          </w14:textFill>
        </w:rPr>
        <w:t>禁止使用12项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w:t>
      </w:r>
      <w:r>
        <w:rPr>
          <w:sz w:val="24"/>
          <w:szCs w:val="24"/>
        </w:rPr>
        <w:t>含氯化钙，氧化钙成分的干燥剂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2.</w:t>
      </w:r>
      <w:r>
        <w:rPr>
          <w:sz w:val="24"/>
          <w:szCs w:val="24"/>
        </w:rPr>
        <w:t>含HBCD（六溴环十二烷）的建筑保温材料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3.</w:t>
      </w:r>
      <w:r>
        <w:rPr>
          <w:sz w:val="24"/>
          <w:szCs w:val="24"/>
        </w:rPr>
        <w:t>燃烧性能低于B1级的外墙保温材料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4.</w:t>
      </w:r>
      <w:r>
        <w:rPr>
          <w:sz w:val="24"/>
          <w:szCs w:val="24"/>
        </w:rPr>
        <w:t>现场简易制作钢筋保护层垫块工艺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5.</w:t>
      </w:r>
      <w:r>
        <w:rPr>
          <w:sz w:val="24"/>
          <w:szCs w:val="24"/>
        </w:rPr>
        <w:t>卷扬机钢筋调直工艺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6.</w:t>
      </w:r>
      <w:r>
        <w:rPr>
          <w:sz w:val="24"/>
          <w:szCs w:val="24"/>
        </w:rPr>
        <w:t>饰面砖水泥砂浆粘贴工艺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7.</w:t>
      </w:r>
      <w:r>
        <w:rPr>
          <w:sz w:val="24"/>
          <w:szCs w:val="24"/>
        </w:rPr>
        <w:t>竹（木）脚手架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8.</w:t>
      </w:r>
      <w:r>
        <w:rPr>
          <w:sz w:val="24"/>
          <w:szCs w:val="24"/>
        </w:rPr>
        <w:t>有碱速凝剂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9.</w:t>
      </w:r>
      <w:r>
        <w:rPr>
          <w:sz w:val="24"/>
          <w:szCs w:val="24"/>
        </w:rPr>
        <w:t>盖梁（系梁）无漏油保险装置的液压千斤顶卸落模板工艺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10.</w:t>
      </w:r>
      <w:r>
        <w:rPr>
          <w:sz w:val="24"/>
          <w:szCs w:val="24"/>
        </w:rPr>
        <w:t>空心板、箱型梁气囊内模工艺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11.</w:t>
      </w:r>
      <w:r>
        <w:rPr>
          <w:sz w:val="24"/>
          <w:szCs w:val="24"/>
        </w:rPr>
        <w:t>污水检查井砖砌工艺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12.</w:t>
      </w:r>
      <w:r>
        <w:rPr>
          <w:sz w:val="24"/>
          <w:szCs w:val="24"/>
        </w:rPr>
        <w:t>桥梁悬浇配重式挂篮设备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highlight w:val="lightGray"/>
        </w:rPr>
      </w:pPr>
      <w:r>
        <w:rPr>
          <w:rFonts w:hint="eastAsia" w:ascii="微软雅黑" w:hAnsi="微软雅黑" w:eastAsia="微软雅黑" w:cs="微软雅黑"/>
          <w:color w:val="000000"/>
          <w:sz w:val="24"/>
          <w:szCs w:val="24"/>
          <w:highlight w:val="lightGray"/>
        </w:rPr>
        <w:t>编者注：4~12项与</w:t>
      </w:r>
      <w:r>
        <w:rPr>
          <w:rFonts w:hint="default" w:ascii="Arial" w:hAnsi="Arial" w:eastAsia="Arial" w:cs="Arial"/>
          <w:color w:val="222222"/>
          <w:spacing w:val="8"/>
          <w:sz w:val="24"/>
          <w:szCs w:val="24"/>
          <w:highlight w:val="lightGray"/>
        </w:rPr>
        <w:t>住建部《房屋建筑和市政基础设施工程危及生产安全施工工艺、设备和材料淘汰目录（第一批）》相同，</w:t>
      </w:r>
      <w:r>
        <w:rPr>
          <w:rFonts w:hint="default" w:ascii="Arial" w:hAnsi="Arial" w:eastAsia="Arial" w:cs="Arial"/>
          <w:color w:val="FF0000"/>
          <w:spacing w:val="8"/>
          <w:sz w:val="24"/>
          <w:szCs w:val="24"/>
          <w:highlight w:val="lightGray"/>
        </w:rPr>
        <w:t>1~3项为省厅新增内容。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center"/>
        <w:rPr>
          <w:rFonts w:hint="default" w:ascii="Arial" w:hAnsi="Arial" w:eastAsia="Arial" w:cs="Arial"/>
          <w:color w:val="222222"/>
          <w:spacing w:val="8"/>
        </w:rPr>
      </w:pPr>
      <w:r>
        <w:rPr>
          <w:rFonts w:hint="default" w:ascii="Arial" w:hAnsi="Arial" w:eastAsia="Arial" w:cs="Arial"/>
          <w:color w:val="222222"/>
          <w:spacing w:val="8"/>
          <w:sz w:val="24"/>
          <w:szCs w:val="24"/>
        </w:rPr>
        <w:drawing>
          <wp:inline distT="0" distB="0" distL="114300" distR="114300">
            <wp:extent cx="5307965" cy="3563620"/>
            <wp:effectExtent l="0" t="0" r="6985" b="17780"/>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6"/>
                    <a:stretch>
                      <a:fillRect/>
                    </a:stretch>
                  </pic:blipFill>
                  <pic:spPr>
                    <a:xfrm>
                      <a:off x="0" y="0"/>
                      <a:ext cx="5307965" cy="3563620"/>
                    </a:xfrm>
                    <a:prstGeom prst="rect">
                      <a:avLst/>
                    </a:prstGeom>
                    <a:noFill/>
                    <a:ln w="9525">
                      <a:noFill/>
                    </a:ln>
                  </pic:spPr>
                </pic:pic>
              </a:graphicData>
            </a:graphic>
          </wp:inline>
        </w:drawing>
      </w:r>
    </w:p>
    <w:p>
      <w:pPr>
        <w:keepNext w:val="0"/>
        <w:keepLines w:val="0"/>
        <w:widowControl/>
        <w:suppressLineNumbers w:val="0"/>
        <w:jc w:val="center"/>
        <w:rPr>
          <w:color w:val="FFFFFF" w:themeColor="background1"/>
          <w:sz w:val="28"/>
          <w:szCs w:val="28"/>
          <w:highlight w:val="blue"/>
          <w14:textFill>
            <w14:solidFill>
              <w14:schemeClr w14:val="bg1"/>
            </w14:solidFill>
          </w14:textFill>
        </w:rPr>
      </w:pPr>
      <w:r>
        <w:rPr>
          <w:rFonts w:ascii="宋体" w:hAnsi="宋体" w:eastAsia="宋体" w:cs="宋体"/>
          <w:color w:val="FFFFFF" w:themeColor="background1"/>
          <w:kern w:val="0"/>
          <w:sz w:val="28"/>
          <w:szCs w:val="28"/>
          <w:highlight w:val="blue"/>
          <w:lang w:val="en-US" w:eastAsia="zh-CN" w:bidi="ar"/>
          <w14:textFill>
            <w14:solidFill>
              <w14:schemeClr w14:val="bg1"/>
            </w14:solidFill>
          </w14:textFill>
        </w:rPr>
        <w:t>限制使用15项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w:t>
      </w:r>
      <w:r>
        <w:rPr>
          <w:sz w:val="24"/>
          <w:szCs w:val="24"/>
        </w:rPr>
        <w:t>浆料类（含无机轻集料保温砂浆）保温系统</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2.</w:t>
      </w:r>
      <w:r>
        <w:rPr>
          <w:sz w:val="24"/>
          <w:szCs w:val="24"/>
        </w:rPr>
        <w:t>九格砖</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3.</w:t>
      </w:r>
      <w:r>
        <w:rPr>
          <w:sz w:val="24"/>
          <w:szCs w:val="24"/>
        </w:rPr>
        <w:t>防滑性能差的光面路面板(砖)</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4.</w:t>
      </w:r>
      <w:r>
        <w:rPr>
          <w:sz w:val="24"/>
          <w:szCs w:val="24"/>
        </w:rPr>
        <w:t>平口混凝土排水管（含钢筋混凝土管）</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5.</w:t>
      </w:r>
      <w:r>
        <w:rPr>
          <w:sz w:val="24"/>
          <w:szCs w:val="24"/>
        </w:rPr>
        <w:t>钢筋闪光对焊工艺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6.</w:t>
      </w:r>
      <w:r>
        <w:rPr>
          <w:sz w:val="24"/>
          <w:szCs w:val="24"/>
        </w:rPr>
        <w:t>基桩人工挖孔工艺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7.</w:t>
      </w:r>
      <w:r>
        <w:rPr>
          <w:sz w:val="24"/>
          <w:szCs w:val="24"/>
        </w:rPr>
        <w:t>沥青类防水卷材热熔工艺（明火施工）</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8.</w:t>
      </w:r>
      <w:r>
        <w:rPr>
          <w:sz w:val="24"/>
          <w:szCs w:val="24"/>
        </w:rPr>
        <w:t>顶管工作竖井钢木支架支护施工工艺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9.</w:t>
      </w:r>
      <w:r>
        <w:rPr>
          <w:sz w:val="24"/>
          <w:szCs w:val="24"/>
        </w:rPr>
        <w:t>桥梁悬浇挂篮上部与底篮精轧螺纹钢吊杆连接工艺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10.</w:t>
      </w:r>
      <w:r>
        <w:rPr>
          <w:sz w:val="24"/>
          <w:szCs w:val="24"/>
        </w:rPr>
        <w:t>门式钢管支撑架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11.</w:t>
      </w:r>
      <w:r>
        <w:rPr>
          <w:sz w:val="24"/>
          <w:szCs w:val="24"/>
        </w:rPr>
        <w:t>白炽灯、碘钨灯、卤素灯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12.</w:t>
      </w:r>
      <w:r>
        <w:rPr>
          <w:sz w:val="24"/>
          <w:szCs w:val="24"/>
        </w:rPr>
        <w:t>龙门架、井架物料提升机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13.</w:t>
      </w:r>
      <w:r>
        <w:rPr>
          <w:sz w:val="24"/>
          <w:szCs w:val="24"/>
        </w:rPr>
        <w:t>非数控孔道压浆设备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14.</w:t>
      </w:r>
      <w:r>
        <w:rPr>
          <w:sz w:val="24"/>
          <w:szCs w:val="24"/>
        </w:rPr>
        <w:t>非数控预应力张拉设备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pPr>
      <w:r>
        <w:rPr>
          <w:rFonts w:hint="eastAsia"/>
          <w:sz w:val="24"/>
          <w:szCs w:val="24"/>
          <w:lang w:val="en-US" w:eastAsia="zh-CN"/>
        </w:rPr>
        <w:t>15.</w:t>
      </w:r>
      <w:r>
        <w:rPr>
          <w:sz w:val="24"/>
          <w:szCs w:val="24"/>
        </w:rPr>
        <w:t>不具备“五防”功能的城镇道路检查井盖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highlight w:val="lightGray"/>
        </w:rPr>
      </w:pPr>
      <w:r>
        <w:rPr>
          <w:rFonts w:hint="eastAsia" w:ascii="微软雅黑" w:hAnsi="微软雅黑" w:eastAsia="微软雅黑" w:cs="微软雅黑"/>
          <w:color w:val="000000"/>
          <w:sz w:val="24"/>
          <w:szCs w:val="24"/>
          <w:highlight w:val="lightGray"/>
        </w:rPr>
        <w:t>编者注：2~14项与</w:t>
      </w:r>
      <w:r>
        <w:rPr>
          <w:rFonts w:hint="default" w:ascii="Arial" w:hAnsi="Arial" w:eastAsia="Arial" w:cs="Arial"/>
          <w:color w:val="222222"/>
          <w:spacing w:val="8"/>
          <w:sz w:val="24"/>
          <w:szCs w:val="24"/>
          <w:highlight w:val="lightGray"/>
        </w:rPr>
        <w:t>住建部《房屋建筑和市政基础设施工程危及生产安全施工工艺、设备和材料淘汰目录（第一批）》相同，</w:t>
      </w:r>
      <w:r>
        <w:rPr>
          <w:rFonts w:hint="default" w:ascii="Arial" w:hAnsi="Arial" w:eastAsia="Arial" w:cs="Arial"/>
          <w:color w:val="FF0000"/>
          <w:spacing w:val="8"/>
          <w:sz w:val="24"/>
          <w:szCs w:val="24"/>
          <w:highlight w:val="lightGray"/>
        </w:rPr>
        <w:t>1和15项为省厅新增内容。</w:t>
      </w:r>
    </w:p>
    <w:p>
      <w:pPr>
        <w:keepNext w:val="0"/>
        <w:keepLines w:val="0"/>
        <w:widowControl/>
        <w:suppressLineNumbers w:val="0"/>
        <w:jc w:val="left"/>
      </w:pPr>
    </w:p>
    <w:p>
      <w:pPr>
        <w:keepNext w:val="0"/>
        <w:keepLines w:val="0"/>
        <w:widowControl/>
        <w:suppressLineNumbers w:val="0"/>
        <w:jc w:val="left"/>
        <w:rPr>
          <w:color w:val="5B9BD5" w:themeColor="accent1"/>
          <w:sz w:val="28"/>
          <w:szCs w:val="28"/>
          <w14:textFill>
            <w14:solidFill>
              <w14:schemeClr w14:val="accent1"/>
            </w14:solidFill>
          </w14:textFill>
        </w:rPr>
      </w:pPr>
      <w:r>
        <w:rPr>
          <w:rStyle w:val="6"/>
          <w:rFonts w:ascii="宋体" w:hAnsi="宋体" w:eastAsia="宋体" w:cs="宋体"/>
          <w:color w:val="5B9BD5" w:themeColor="accent1"/>
          <w:kern w:val="0"/>
          <w:sz w:val="28"/>
          <w:szCs w:val="28"/>
          <w:lang w:val="en-US" w:eastAsia="zh-CN" w:bidi="ar"/>
          <w14:textFill>
            <w14:solidFill>
              <w14:schemeClr w14:val="accent1"/>
            </w14:solidFill>
          </w14:textFill>
        </w:rPr>
        <w:t>03陕西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8"/>
        </w:rPr>
      </w:pPr>
      <w:r>
        <w:rPr>
          <w:spacing w:val="8"/>
        </w:rPr>
        <w:drawing>
          <wp:inline distT="0" distB="0" distL="114300" distR="114300">
            <wp:extent cx="6077585" cy="2331085"/>
            <wp:effectExtent l="0" t="0" r="18415" b="1206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7"/>
                    <a:stretch>
                      <a:fillRect/>
                    </a:stretch>
                  </pic:blipFill>
                  <pic:spPr>
                    <a:xfrm>
                      <a:off x="0" y="0"/>
                      <a:ext cx="6077585" cy="23310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sz w:val="24"/>
          <w:szCs w:val="24"/>
        </w:rPr>
        <w:t>2023年1月，陕西省住建厅发布《关于发布&lt;</w:t>
      </w:r>
      <w:r>
        <w:rPr>
          <w:rStyle w:val="6"/>
          <w:sz w:val="24"/>
          <w:szCs w:val="24"/>
        </w:rPr>
        <w:t>陕西省建设领域推广应用及限制禁止使用技术目录（第一批）</w:t>
      </w:r>
      <w:r>
        <w:rPr>
          <w:sz w:val="24"/>
          <w:szCs w:val="24"/>
        </w:rPr>
        <w:t>&gt;的通知》。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rStyle w:val="6"/>
          <w:spacing w:val="8"/>
          <w:sz w:val="24"/>
          <w:szCs w:val="24"/>
        </w:rPr>
        <w:t>本目录共收集42种使用技术</w:t>
      </w:r>
      <w:r>
        <w:rPr>
          <w:spacing w:val="8"/>
          <w:sz w:val="24"/>
          <w:szCs w:val="24"/>
        </w:rPr>
        <w:t>，其中推广部分31种，</w:t>
      </w:r>
      <w:r>
        <w:rPr>
          <w:color w:val="FF0000"/>
          <w:spacing w:val="8"/>
          <w:sz w:val="24"/>
          <w:szCs w:val="24"/>
        </w:rPr>
        <w:t>限制部分6种</w:t>
      </w:r>
      <w:r>
        <w:rPr>
          <w:spacing w:val="8"/>
          <w:sz w:val="24"/>
          <w:szCs w:val="24"/>
        </w:rPr>
        <w:t>，</w:t>
      </w:r>
      <w:r>
        <w:rPr>
          <w:rStyle w:val="6"/>
          <w:color w:val="FF0000"/>
          <w:spacing w:val="8"/>
          <w:sz w:val="24"/>
          <w:szCs w:val="24"/>
        </w:rPr>
        <w:t>禁止部分5种</w:t>
      </w:r>
      <w:r>
        <w:rPr>
          <w:spacing w:val="8"/>
          <w:sz w:val="24"/>
          <w:szCs w:val="24"/>
        </w:rPr>
        <w:t>。</w:t>
      </w:r>
    </w:p>
    <w:p>
      <w:pPr>
        <w:keepNext w:val="0"/>
        <w:keepLines w:val="0"/>
        <w:widowControl/>
        <w:suppressLineNumbers w:val="0"/>
        <w:spacing w:after="240" w:afterAutospacing="0"/>
        <w:jc w:val="center"/>
      </w:pPr>
      <w:r>
        <w:rPr>
          <w:rStyle w:val="6"/>
          <w:rFonts w:ascii="宋体" w:hAnsi="宋体" w:eastAsia="宋体" w:cs="宋体"/>
          <w:color w:val="4472C4" w:themeColor="accent5"/>
          <w:kern w:val="0"/>
          <w:sz w:val="28"/>
          <w:szCs w:val="28"/>
          <w:lang w:val="en-US" w:eastAsia="zh-CN" w:bidi="ar"/>
          <w14:textFill>
            <w14:solidFill>
              <w14:schemeClr w14:val="accent5"/>
            </w14:solidFill>
          </w14:textFill>
        </w:rPr>
        <w:t>共5项禁止使用技术</w:t>
      </w:r>
      <w:r>
        <w:rPr>
          <w:rFonts w:ascii="宋体" w:hAnsi="宋体" w:eastAsia="宋体" w:cs="宋体"/>
          <w:kern w:val="0"/>
          <w:sz w:val="24"/>
          <w:szCs w:val="24"/>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sz w:val="28"/>
          <w:szCs w:val="28"/>
        </w:rPr>
        <w:t>1、采用六溴环十二烷为阻燃剂生产的保温材料；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sz w:val="28"/>
          <w:szCs w:val="28"/>
        </w:rPr>
        <w:t>2、烧结粘土实心砖；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sz w:val="28"/>
          <w:szCs w:val="28"/>
        </w:rPr>
        <w:t>3、孔洞率小于 28%的烧结多孔砖；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sz w:val="28"/>
          <w:szCs w:val="28"/>
        </w:rPr>
        <w:t>4、</w:t>
      </w:r>
      <w:r>
        <w:rPr>
          <w:spacing w:val="8"/>
          <w:sz w:val="28"/>
          <w:szCs w:val="28"/>
        </w:rPr>
        <w:t>使用非耐碱玻纤或非低碱水泥生产的玻纤增强水泥</w:t>
      </w:r>
      <w:r>
        <w:rPr>
          <w:sz w:val="28"/>
          <w:szCs w:val="28"/>
        </w:rPr>
        <w:t>（GRC）空心板；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sz w:val="28"/>
          <w:szCs w:val="28"/>
        </w:rPr>
        <w:t>5、</w:t>
      </w:r>
      <w:r>
        <w:rPr>
          <w:spacing w:val="8"/>
          <w:sz w:val="28"/>
          <w:szCs w:val="28"/>
        </w:rPr>
        <w:t>手工切割加气混凝土生产线、非蒸压养护加气混凝</w:t>
      </w:r>
      <w:r>
        <w:rPr>
          <w:sz w:val="28"/>
          <w:szCs w:val="28"/>
        </w:rPr>
        <w:t>土生产线。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center"/>
        <w:rPr>
          <w:rStyle w:val="6"/>
          <w:rFonts w:ascii="宋体" w:hAnsi="宋体" w:eastAsia="宋体" w:cs="宋体"/>
          <w:color w:val="4472C4" w:themeColor="accent5"/>
          <w:kern w:val="0"/>
          <w:sz w:val="28"/>
          <w:szCs w:val="28"/>
          <w:lang w:val="en-US" w:eastAsia="zh-CN" w:bidi="ar"/>
          <w14:textFill>
            <w14:solidFill>
              <w14:schemeClr w14:val="accent5"/>
            </w14:solidFill>
          </w14:textFill>
        </w:rPr>
      </w:pPr>
      <w:r>
        <w:rPr>
          <w:spacing w:val="8"/>
        </w:rPr>
        <w:drawing>
          <wp:inline distT="0" distB="0" distL="114300" distR="114300">
            <wp:extent cx="5590540" cy="3002915"/>
            <wp:effectExtent l="0" t="0" r="10160" b="698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8"/>
                    <a:stretch>
                      <a:fillRect/>
                    </a:stretch>
                  </pic:blipFill>
                  <pic:spPr>
                    <a:xfrm>
                      <a:off x="0" y="0"/>
                      <a:ext cx="5590540" cy="3002915"/>
                    </a:xfrm>
                    <a:prstGeom prst="rect">
                      <a:avLst/>
                    </a:prstGeom>
                    <a:noFill/>
                    <a:ln w="9525">
                      <a:noFill/>
                    </a:ln>
                  </pic:spPr>
                </pic:pic>
              </a:graphicData>
            </a:graphic>
          </wp:inline>
        </w:drawing>
      </w:r>
      <w:r>
        <w:rPr>
          <w:rStyle w:val="6"/>
          <w:rFonts w:ascii="宋体" w:hAnsi="宋体" w:eastAsia="宋体" w:cs="宋体"/>
          <w:color w:val="4472C4" w:themeColor="accent5"/>
          <w:kern w:val="0"/>
          <w:sz w:val="28"/>
          <w:szCs w:val="28"/>
          <w:lang w:val="en-US" w:eastAsia="zh-CN" w:bidi="ar"/>
          <w14:textFill>
            <w14:solidFill>
              <w14:schemeClr w14:val="accent5"/>
            </w14:solidFill>
          </w14:textFill>
        </w:rPr>
        <w:t>共6项限制类使用技术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left"/>
        <w:rPr>
          <w:sz w:val="28"/>
          <w:szCs w:val="28"/>
        </w:rPr>
      </w:pPr>
      <w:r>
        <w:rPr>
          <w:sz w:val="28"/>
          <w:szCs w:val="28"/>
        </w:rPr>
        <w:t>1、XPS 保温板薄抹灰外墙外保温系统；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sz w:val="28"/>
          <w:szCs w:val="28"/>
        </w:rPr>
        <w:t>2、玻璃纤维网布；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sz w:val="28"/>
          <w:szCs w:val="28"/>
        </w:rPr>
        <w:t>3、B2 级保温材料；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sz w:val="28"/>
          <w:szCs w:val="28"/>
        </w:rPr>
        <w:t>4、</w:t>
      </w:r>
      <w:r>
        <w:rPr>
          <w:spacing w:val="8"/>
          <w:sz w:val="28"/>
          <w:szCs w:val="28"/>
        </w:rPr>
        <w:t>低强度的轻集料混凝土砌块（抗压强度&lt;3.5MPa）；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sz w:val="28"/>
          <w:szCs w:val="28"/>
        </w:rPr>
        <w:t>5、低强度的轻集料混凝土砌块（抗压强度&lt;2.5MPa）；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sz w:val="28"/>
          <w:szCs w:val="28"/>
        </w:rPr>
      </w:pPr>
      <w:r>
        <w:rPr>
          <w:sz w:val="28"/>
          <w:szCs w:val="28"/>
        </w:rPr>
        <w:t>6、建筑轻质隔墙板（厚度＜120mm）。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eastAsiaTheme="minorEastAsia"/>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drawing>
          <wp:inline distT="0" distB="0" distL="114300" distR="114300">
            <wp:extent cx="5308600" cy="5215255"/>
            <wp:effectExtent l="0" t="0" r="6350" b="444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9"/>
                    <a:stretch>
                      <a:fillRect/>
                    </a:stretch>
                  </pic:blipFill>
                  <pic:spPr>
                    <a:xfrm>
                      <a:off x="0" y="0"/>
                      <a:ext cx="5308600" cy="5215255"/>
                    </a:xfrm>
                    <a:prstGeom prst="rect">
                      <a:avLst/>
                    </a:prstGeom>
                    <a:noFill/>
                    <a:ln w="9525">
                      <a:noFill/>
                    </a:ln>
                  </pic:spPr>
                </pic:pic>
              </a:graphicData>
            </a:graphic>
          </wp:inline>
        </w:drawing>
      </w:r>
    </w:p>
    <w:p>
      <w:pPr>
        <w:keepNext w:val="0"/>
        <w:keepLines w:val="0"/>
        <w:widowControl/>
        <w:suppressLineNumbers w:val="0"/>
        <w:jc w:val="left"/>
        <w:rPr>
          <w:color w:val="4472C4" w:themeColor="accent5"/>
          <w:highlight w:val="lightGray"/>
          <w14:textFill>
            <w14:solidFill>
              <w14:schemeClr w14:val="accent5"/>
            </w14:solidFill>
          </w14:textFill>
        </w:rPr>
      </w:pPr>
      <w:r>
        <w:rPr>
          <w:rStyle w:val="6"/>
          <w:rFonts w:ascii="宋体" w:hAnsi="宋体" w:eastAsia="宋体" w:cs="宋体"/>
          <w:color w:val="4472C4" w:themeColor="accent5"/>
          <w:kern w:val="0"/>
          <w:sz w:val="24"/>
          <w:szCs w:val="24"/>
          <w:highlight w:val="lightGray"/>
          <w:lang w:val="en-US" w:eastAsia="zh-CN" w:bidi="ar"/>
          <w14:textFill>
            <w14:solidFill>
              <w14:schemeClr w14:val="accent5"/>
            </w14:solidFill>
          </w14:textFill>
        </w:rPr>
        <w:t>04河北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8"/>
        </w:rPr>
      </w:pPr>
      <w:r>
        <w:rPr>
          <w:rFonts w:hint="eastAsia" w:ascii="微软雅黑" w:hAnsi="微软雅黑" w:eastAsia="微软雅黑" w:cs="微软雅黑"/>
          <w:color w:val="000000"/>
          <w:spacing w:val="8"/>
        </w:rPr>
        <w:drawing>
          <wp:inline distT="0" distB="0" distL="114300" distR="114300">
            <wp:extent cx="5841365" cy="2905125"/>
            <wp:effectExtent l="0" t="0" r="6985" b="9525"/>
            <wp:docPr id="1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67"/>
                    <pic:cNvPicPr>
                      <a:picLocks noChangeAspect="1"/>
                    </pic:cNvPicPr>
                  </pic:nvPicPr>
                  <pic:blipFill>
                    <a:blip r:embed="rId20"/>
                    <a:stretch>
                      <a:fillRect/>
                    </a:stretch>
                  </pic:blipFill>
                  <pic:spPr>
                    <a:xfrm>
                      <a:off x="0" y="0"/>
                      <a:ext cx="5841365" cy="2905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sz w:val="24"/>
          <w:szCs w:val="24"/>
        </w:rPr>
        <w:t>2022年12月，河北省住建厅印发《河北省推广、限制和禁止使用建设工程材料设备产品目录（2022年版）》，其中：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sz w:val="24"/>
          <w:szCs w:val="24"/>
        </w:rPr>
        <w:t>推广使用的工程材料设备114项；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color w:val="FF0000"/>
          <w:sz w:val="24"/>
          <w:szCs w:val="24"/>
        </w:rPr>
        <w:t>限制使用工程材料设备38项</w:t>
      </w:r>
      <w:r>
        <w:rPr>
          <w:sz w:val="24"/>
          <w:szCs w:val="24"/>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rStyle w:val="6"/>
          <w:color w:val="FF0000"/>
          <w:sz w:val="24"/>
          <w:szCs w:val="24"/>
        </w:rPr>
        <w:t>禁止使用工程材料设备49项</w:t>
      </w:r>
      <w:r>
        <w:rPr>
          <w:sz w:val="24"/>
          <w:szCs w:val="24"/>
        </w:rPr>
        <w:t>。（其中包括：</w:t>
      </w:r>
      <w:r>
        <w:rPr>
          <w:color w:val="000000"/>
          <w:sz w:val="24"/>
          <w:szCs w:val="24"/>
        </w:rPr>
        <w:t>未安装安全监控系统的塔式起重机</w:t>
      </w:r>
      <w:r>
        <w:rPr>
          <w:sz w:val="24"/>
          <w:szCs w:val="24"/>
        </w:rPr>
        <w:t>、桥梁悬浇配重式挂篮设备、竹（木）脚手架、采用六澳环十二烷为阻燃剂的保温隔热材料等）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sz w:val="24"/>
          <w:szCs w:val="24"/>
        </w:rPr>
        <w:t>具体项目类别如下：</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center"/>
        <w:rPr>
          <w:rStyle w:val="6"/>
          <w:sz w:val="24"/>
          <w:szCs w:val="24"/>
          <w:shd w:val="clear" w:fill="FDEADA"/>
        </w:rPr>
      </w:pPr>
      <w:r>
        <w:rPr>
          <w:rStyle w:val="6"/>
          <w:sz w:val="24"/>
          <w:szCs w:val="24"/>
          <w:shd w:val="clear" w:fill="FDEADA"/>
        </w:rPr>
        <w:t>禁止使用的建设工程材料设备</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right="0" w:rightChars="0"/>
        <w:jc w:val="center"/>
        <w:rPr>
          <w:rStyle w:val="6"/>
          <w:rFonts w:hint="eastAsia" w:eastAsiaTheme="minorEastAsia"/>
          <w:sz w:val="24"/>
          <w:szCs w:val="24"/>
          <w:shd w:val="clear" w:fill="FDEADA"/>
          <w:lang w:eastAsia="zh-CN"/>
        </w:rPr>
      </w:pPr>
      <w:r>
        <w:rPr>
          <w:rStyle w:val="6"/>
          <w:rFonts w:hint="eastAsia" w:eastAsiaTheme="minorEastAsia"/>
          <w:sz w:val="24"/>
          <w:szCs w:val="24"/>
          <w:shd w:val="clear" w:fill="FDEADA"/>
          <w:lang w:eastAsia="zh-CN"/>
        </w:rPr>
        <w:drawing>
          <wp:inline distT="0" distB="0" distL="114300" distR="114300">
            <wp:extent cx="6103620" cy="4756785"/>
            <wp:effectExtent l="0" t="0" r="11430" b="5715"/>
            <wp:docPr id="33" name="图片 3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2"/>
                    <pic:cNvPicPr>
                      <a:picLocks noChangeAspect="1"/>
                    </pic:cNvPicPr>
                  </pic:nvPicPr>
                  <pic:blipFill>
                    <a:blip r:embed="rId21"/>
                    <a:stretch>
                      <a:fillRect/>
                    </a:stretch>
                  </pic:blipFill>
                  <pic:spPr>
                    <a:xfrm>
                      <a:off x="0" y="0"/>
                      <a:ext cx="6103620" cy="475678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color w:val="000000"/>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color w:val="000000"/>
          <w:sz w:val="25"/>
          <w:szCs w:val="25"/>
          <w:lang w:eastAsia="zh-CN"/>
        </w:rPr>
      </w:pPr>
      <w:r>
        <w:rPr>
          <w:rFonts w:hint="eastAsia" w:ascii="微软雅黑" w:hAnsi="微软雅黑" w:eastAsia="微软雅黑" w:cs="微软雅黑"/>
          <w:color w:val="000000"/>
          <w:sz w:val="25"/>
          <w:szCs w:val="25"/>
          <w:lang w:eastAsia="zh-CN"/>
        </w:rPr>
        <w:drawing>
          <wp:inline distT="0" distB="0" distL="114300" distR="114300">
            <wp:extent cx="5271770" cy="8741410"/>
            <wp:effectExtent l="0" t="0" r="5080" b="2540"/>
            <wp:docPr id="34" name="图片 3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3"/>
                    <pic:cNvPicPr>
                      <a:picLocks noChangeAspect="1"/>
                    </pic:cNvPicPr>
                  </pic:nvPicPr>
                  <pic:blipFill>
                    <a:blip r:embed="rId22"/>
                    <a:stretch>
                      <a:fillRect/>
                    </a:stretch>
                  </pic:blipFill>
                  <pic:spPr>
                    <a:xfrm>
                      <a:off x="0" y="0"/>
                      <a:ext cx="5271770" cy="87414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center"/>
        <w:rPr>
          <w:sz w:val="24"/>
          <w:szCs w:val="24"/>
          <w:shd w:val="clear" w:fill="FDEADA"/>
        </w:rPr>
      </w:pPr>
      <w:r>
        <w:rPr>
          <w:sz w:val="24"/>
          <w:szCs w:val="24"/>
          <w:shd w:val="clear" w:fill="FDEADA"/>
        </w:rPr>
        <w:drawing>
          <wp:inline distT="0" distB="0" distL="114300" distR="114300">
            <wp:extent cx="5317490" cy="8229600"/>
            <wp:effectExtent l="0" t="0" r="16510" b="0"/>
            <wp:docPr id="35" name="图片 3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4"/>
                    <pic:cNvPicPr>
                      <a:picLocks noChangeAspect="1"/>
                    </pic:cNvPicPr>
                  </pic:nvPicPr>
                  <pic:blipFill>
                    <a:blip r:embed="rId23"/>
                    <a:stretch>
                      <a:fillRect/>
                    </a:stretch>
                  </pic:blipFill>
                  <pic:spPr>
                    <a:xfrm>
                      <a:off x="0" y="0"/>
                      <a:ext cx="5317490" cy="822960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center"/>
      </w:pPr>
      <w:r>
        <w:rPr>
          <w:sz w:val="24"/>
          <w:szCs w:val="24"/>
          <w:shd w:val="clear" w:fill="FDEADA"/>
        </w:rPr>
        <w:t>二、限制使用的建设工程材料设备</w:t>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4541520" cy="8857615"/>
            <wp:effectExtent l="0" t="0" r="11430" b="635"/>
            <wp:docPr id="36" name="图片 3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
                    <pic:cNvPicPr>
                      <a:picLocks noChangeAspect="1"/>
                    </pic:cNvPicPr>
                  </pic:nvPicPr>
                  <pic:blipFill>
                    <a:blip r:embed="rId24"/>
                    <a:stretch>
                      <a:fillRect/>
                    </a:stretch>
                  </pic:blipFill>
                  <pic:spPr>
                    <a:xfrm>
                      <a:off x="0" y="0"/>
                      <a:ext cx="4541520" cy="8857615"/>
                    </a:xfrm>
                    <a:prstGeom prst="rect">
                      <a:avLst/>
                    </a:prstGeom>
                  </pic:spPr>
                </pic:pic>
              </a:graphicData>
            </a:graphic>
          </wp:inline>
        </w:drawing>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171315" cy="8826500"/>
            <wp:effectExtent l="0" t="0" r="635" b="12700"/>
            <wp:docPr id="38" name="图片 3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
                    <pic:cNvPicPr>
                      <a:picLocks noChangeAspect="1"/>
                    </pic:cNvPicPr>
                  </pic:nvPicPr>
                  <pic:blipFill>
                    <a:blip r:embed="rId25"/>
                    <a:stretch>
                      <a:fillRect/>
                    </a:stretch>
                  </pic:blipFill>
                  <pic:spPr>
                    <a:xfrm>
                      <a:off x="0" y="0"/>
                      <a:ext cx="4171315" cy="8826500"/>
                    </a:xfrm>
                    <a:prstGeom prst="rect">
                      <a:avLst/>
                    </a:prstGeom>
                  </pic:spPr>
                </pic:pic>
              </a:graphicData>
            </a:graphic>
          </wp:inline>
        </w:drawing>
      </w:r>
      <w:r>
        <w:rPr>
          <w:rFonts w:ascii="宋体" w:hAnsi="宋体" w:eastAsia="宋体" w:cs="宋体"/>
          <w:kern w:val="0"/>
          <w:sz w:val="24"/>
          <w:szCs w:val="24"/>
          <w:lang w:val="en-US" w:eastAsia="zh-CN" w:bidi="ar"/>
        </w:rPr>
        <w:br w:type="textWrapping"/>
      </w:r>
      <w:r>
        <w:rPr>
          <w:rStyle w:val="6"/>
          <w:rFonts w:ascii="宋体" w:hAnsi="宋体" w:eastAsia="宋体" w:cs="宋体"/>
          <w:color w:val="4472C4" w:themeColor="accent5"/>
          <w:kern w:val="0"/>
          <w:sz w:val="28"/>
          <w:szCs w:val="28"/>
          <w:highlight w:val="lightGray"/>
          <w:lang w:val="en-US" w:eastAsia="zh-CN" w:bidi="ar"/>
          <w14:textFill>
            <w14:solidFill>
              <w14:schemeClr w14:val="accent5"/>
            </w14:solidFill>
          </w14:textFill>
        </w:rPr>
        <w:t>05四川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368" w:lineRule="atLeast"/>
        <w:ind w:left="0" w:right="0"/>
        <w:jc w:val="center"/>
        <w:rPr>
          <w:spacing w:val="8"/>
        </w:rPr>
      </w:pPr>
      <w:r>
        <w:rPr>
          <w:color w:val="000000"/>
          <w:spacing w:val="8"/>
        </w:rPr>
        <w:drawing>
          <wp:inline distT="0" distB="0" distL="114300" distR="114300">
            <wp:extent cx="6000750" cy="2578100"/>
            <wp:effectExtent l="0" t="0" r="0" b="12700"/>
            <wp:docPr id="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71"/>
                    <pic:cNvPicPr>
                      <a:picLocks noChangeAspect="1"/>
                    </pic:cNvPicPr>
                  </pic:nvPicPr>
                  <pic:blipFill>
                    <a:blip r:embed="rId26"/>
                    <a:stretch>
                      <a:fillRect/>
                    </a:stretch>
                  </pic:blipFill>
                  <pic:spPr>
                    <a:xfrm>
                      <a:off x="0" y="0"/>
                      <a:ext cx="6000750" cy="2578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rPr>
      </w:pPr>
      <w:r>
        <w:rPr>
          <w:rFonts w:hint="eastAsia" w:ascii="微软雅黑" w:hAnsi="微软雅黑" w:eastAsia="微软雅黑" w:cs="微软雅黑"/>
          <w:color w:val="000000"/>
          <w:sz w:val="24"/>
          <w:szCs w:val="24"/>
        </w:rPr>
        <w:t>2022年11月，四川省住建厅发布《关于发布&lt;四川省住房城乡建设领域推广应用新技术和限制、禁止使用落后技术（第一批）&gt;的公告》。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pPr>
      <w:r>
        <w:rPr>
          <w:rStyle w:val="6"/>
          <w:color w:val="FF0000"/>
          <w:sz w:val="24"/>
          <w:szCs w:val="24"/>
        </w:rPr>
        <w:t>禁止使用工程材料设备11项</w:t>
      </w:r>
      <w:r>
        <w:rPr>
          <w:sz w:val="24"/>
          <w:szCs w:val="24"/>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eastAsiaTheme="minorEastAsia"/>
          <w:lang w:eastAsia="zh-CN"/>
        </w:rPr>
      </w:pPr>
      <w:r>
        <w:rPr>
          <w:color w:val="FF0000"/>
          <w:spacing w:val="8"/>
          <w:sz w:val="24"/>
          <w:szCs w:val="24"/>
        </w:rPr>
        <w:t>限制使用工程材料设备14项</w:t>
      </w:r>
      <w:r>
        <w:rPr>
          <w:sz w:val="24"/>
          <w:szCs w:val="24"/>
        </w:rPr>
        <w:t>。</w:t>
      </w:r>
      <w:r>
        <w:rPr>
          <w:rFonts w:hint="eastAsia" w:eastAsiaTheme="minorEastAsia"/>
          <w:lang w:eastAsia="zh-CN"/>
        </w:rPr>
        <w:drawing>
          <wp:inline distT="0" distB="0" distL="114300" distR="114300">
            <wp:extent cx="5268595" cy="3514725"/>
            <wp:effectExtent l="0" t="0" r="8255" b="9525"/>
            <wp:docPr id="39" name="图片 3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8"/>
                    <pic:cNvPicPr>
                      <a:picLocks noChangeAspect="1"/>
                    </pic:cNvPicPr>
                  </pic:nvPicPr>
                  <pic:blipFill>
                    <a:blip r:embed="rId27"/>
                    <a:stretch>
                      <a:fillRect/>
                    </a:stretch>
                  </pic:blipFill>
                  <pic:spPr>
                    <a:xfrm>
                      <a:off x="0" y="0"/>
                      <a:ext cx="5268595" cy="35147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5064125" cy="8819515"/>
            <wp:effectExtent l="0" t="0" r="3175" b="635"/>
            <wp:docPr id="40" name="图片 4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9"/>
                    <pic:cNvPicPr>
                      <a:picLocks noChangeAspect="1"/>
                    </pic:cNvPicPr>
                  </pic:nvPicPr>
                  <pic:blipFill>
                    <a:blip r:embed="rId28"/>
                    <a:stretch>
                      <a:fillRect/>
                    </a:stretch>
                  </pic:blipFill>
                  <pic:spPr>
                    <a:xfrm>
                      <a:off x="0" y="0"/>
                      <a:ext cx="5064125" cy="8819515"/>
                    </a:xfrm>
                    <a:prstGeom prst="rect">
                      <a:avLst/>
                    </a:prstGeom>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73040" cy="5052060"/>
            <wp:effectExtent l="0" t="0" r="3810" b="15240"/>
            <wp:docPr id="41" name="图片 4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1"/>
                    <pic:cNvPicPr>
                      <a:picLocks noChangeAspect="1"/>
                    </pic:cNvPicPr>
                  </pic:nvPicPr>
                  <pic:blipFill>
                    <a:blip r:embed="rId29"/>
                    <a:stretch>
                      <a:fillRect/>
                    </a:stretch>
                  </pic:blipFill>
                  <pic:spPr>
                    <a:xfrm>
                      <a:off x="0" y="0"/>
                      <a:ext cx="5273040" cy="5052060"/>
                    </a:xfrm>
                    <a:prstGeom prst="rect">
                      <a:avLst/>
                    </a:prstGeom>
                  </pic:spPr>
                </pic:pic>
              </a:graphicData>
            </a:graphic>
          </wp:inline>
        </w:drawing>
      </w:r>
    </w:p>
    <w:p>
      <w:pPr>
        <w:keepNext w:val="0"/>
        <w:keepLines w:val="0"/>
        <w:widowControl/>
        <w:suppressLineNumbers w:val="0"/>
        <w:jc w:val="both"/>
        <w:rPr>
          <w:color w:val="4472C4" w:themeColor="accent5"/>
          <w:highlight w:val="lightGray"/>
          <w14:textFill>
            <w14:solidFill>
              <w14:schemeClr w14:val="accent5"/>
            </w14:solidFill>
          </w14:textFill>
        </w:rPr>
      </w:pPr>
      <w:r>
        <w:rPr>
          <w:rFonts w:hint="eastAsia" w:ascii="宋体" w:hAnsi="宋体" w:eastAsia="宋体" w:cs="宋体"/>
          <w:color w:val="4472C4" w:themeColor="accent5"/>
          <w:kern w:val="0"/>
          <w:sz w:val="24"/>
          <w:szCs w:val="24"/>
          <w:highlight w:val="lightGray"/>
          <w:lang w:val="en-US" w:eastAsia="zh-CN" w:bidi="ar"/>
          <w14:textFill>
            <w14:solidFill>
              <w14:schemeClr w14:val="accent5"/>
            </w14:solidFill>
          </w14:textFill>
        </w:rPr>
        <w:t>06</w:t>
      </w:r>
      <w:r>
        <w:rPr>
          <w:rStyle w:val="6"/>
          <w:rFonts w:ascii="宋体" w:hAnsi="宋体" w:eastAsia="宋体" w:cs="宋体"/>
          <w:color w:val="4472C4" w:themeColor="accent5"/>
          <w:kern w:val="0"/>
          <w:sz w:val="24"/>
          <w:szCs w:val="24"/>
          <w:highlight w:val="lightGray"/>
          <w:lang w:val="en-US" w:eastAsia="zh-CN" w:bidi="ar"/>
          <w14:textFill>
            <w14:solidFill>
              <w14:schemeClr w14:val="accent5"/>
            </w14:solidFill>
          </w14:textFill>
        </w:rPr>
        <w:t>重庆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368" w:lineRule="atLeast"/>
        <w:ind w:left="0" w:right="0"/>
        <w:jc w:val="center"/>
        <w:rPr>
          <w:spacing w:val="8"/>
        </w:rPr>
      </w:pPr>
      <w:r>
        <w:rPr>
          <w:color w:val="000000"/>
          <w:spacing w:val="8"/>
        </w:rPr>
        <w:drawing>
          <wp:inline distT="0" distB="0" distL="114300" distR="114300">
            <wp:extent cx="4886325" cy="1470660"/>
            <wp:effectExtent l="0" t="0" r="9525" b="15240"/>
            <wp:docPr id="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IMG_274"/>
                    <pic:cNvPicPr>
                      <a:picLocks noChangeAspect="1"/>
                    </pic:cNvPicPr>
                  </pic:nvPicPr>
                  <pic:blipFill>
                    <a:blip r:embed="rId30"/>
                    <a:stretch>
                      <a:fillRect/>
                    </a:stretch>
                  </pic:blipFill>
                  <pic:spPr>
                    <a:xfrm>
                      <a:off x="0" y="0"/>
                      <a:ext cx="4886325" cy="14706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sz w:val="24"/>
          <w:szCs w:val="24"/>
        </w:rPr>
        <w:t>2022年11月，重庆市住建委发布关于征求《重庆市建设领域禁止、限制使用落后技术通告（2022年版）（征求意见稿）》意见的通知，在我市建设领域将</w:t>
      </w:r>
      <w:r>
        <w:rPr>
          <w:color w:val="FF0000"/>
          <w:sz w:val="24"/>
          <w:szCs w:val="24"/>
        </w:rPr>
        <w:t>淘汰、限制使用上百项建设技术</w:t>
      </w:r>
      <w:r>
        <w:rPr>
          <w:sz w:val="24"/>
          <w:szCs w:val="24"/>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sz w:val="24"/>
          <w:szCs w:val="24"/>
        </w:rPr>
        <w:t>其中</w:t>
      </w:r>
      <w:r>
        <w:rPr>
          <w:rStyle w:val="6"/>
          <w:color w:val="FF0000"/>
          <w:sz w:val="24"/>
          <w:szCs w:val="24"/>
        </w:rPr>
        <w:t>禁用57项落后技术，严禁用于全市建设工程</w:t>
      </w:r>
      <w:r>
        <w:rPr>
          <w:sz w:val="24"/>
          <w:szCs w:val="24"/>
        </w:rPr>
        <w:t>。全面禁用</w:t>
      </w:r>
      <w:r>
        <w:rPr>
          <w:rStyle w:val="6"/>
          <w:sz w:val="24"/>
          <w:szCs w:val="24"/>
          <w:shd w:val="clear" w:fill="FFFED5"/>
        </w:rPr>
        <w:t>旋挖成孔扩底灌注桩；塔吊吊泵管浇筑混凝土施工工艺；全铸铁扣件；竹（木）脚手架，扣件式钢管悬挑脚手架，大模板悬挂脚手架；普通型附着式升降脚手架</w:t>
      </w:r>
      <w:r>
        <w:rPr>
          <w:rStyle w:val="6"/>
          <w:sz w:val="24"/>
          <w:szCs w:val="24"/>
        </w:rPr>
        <w:t>；井架式起重机，TQ60/80塔式起重机；龙门架物料提升机，扣件式钢管井架物料提升机，物料提升机</w:t>
      </w:r>
      <w:r>
        <w:rPr>
          <w:sz w:val="24"/>
          <w:szCs w:val="24"/>
        </w:rPr>
        <w:t>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sz w:val="24"/>
          <w:szCs w:val="24"/>
        </w:rPr>
      </w:pPr>
      <w:r>
        <w:rPr>
          <w:sz w:val="24"/>
          <w:szCs w:val="24"/>
        </w:rPr>
        <w:t>清单如下：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center"/>
        <w:rPr>
          <w:rFonts w:hint="eastAsia" w:eastAsiaTheme="minorEastAsia"/>
          <w:lang w:eastAsia="zh-CN"/>
        </w:rPr>
      </w:pPr>
      <w:r>
        <w:rPr>
          <w:rFonts w:hint="eastAsia" w:eastAsiaTheme="minorEastAsia"/>
          <w:lang w:eastAsia="zh-CN"/>
        </w:rPr>
        <w:drawing>
          <wp:inline distT="0" distB="0" distL="114300" distR="114300">
            <wp:extent cx="4286250" cy="7762240"/>
            <wp:effectExtent l="0" t="0" r="0" b="10160"/>
            <wp:docPr id="42" name="图片 4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3"/>
                    <pic:cNvPicPr>
                      <a:picLocks noChangeAspect="1"/>
                    </pic:cNvPicPr>
                  </pic:nvPicPr>
                  <pic:blipFill>
                    <a:blip r:embed="rId31"/>
                    <a:stretch>
                      <a:fillRect/>
                    </a:stretch>
                  </pic:blipFill>
                  <pic:spPr>
                    <a:xfrm>
                      <a:off x="0" y="0"/>
                      <a:ext cx="4286250" cy="7762240"/>
                    </a:xfrm>
                    <a:prstGeom prst="rect">
                      <a:avLst/>
                    </a:prstGeom>
                  </pic:spPr>
                </pic:pic>
              </a:graphicData>
            </a:graphic>
          </wp:inline>
        </w:drawing>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4324350" cy="6896100"/>
            <wp:effectExtent l="0" t="0" r="0" b="0"/>
            <wp:docPr id="43" name="图片 4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4"/>
                    <pic:cNvPicPr>
                      <a:picLocks noChangeAspect="1"/>
                    </pic:cNvPicPr>
                  </pic:nvPicPr>
                  <pic:blipFill>
                    <a:blip r:embed="rId32"/>
                    <a:stretch>
                      <a:fillRect/>
                    </a:stretch>
                  </pic:blipFill>
                  <pic:spPr>
                    <a:xfrm>
                      <a:off x="0" y="0"/>
                      <a:ext cx="4324350" cy="6896100"/>
                    </a:xfrm>
                    <a:prstGeom prst="rect">
                      <a:avLst/>
                    </a:prstGeom>
                  </pic:spPr>
                </pic:pic>
              </a:graphicData>
            </a:graphic>
          </wp:inline>
        </w:drawing>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4448175" cy="1341120"/>
            <wp:effectExtent l="0" t="0" r="9525" b="11430"/>
            <wp:docPr id="45" name="图片 4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6"/>
                    <pic:cNvPicPr>
                      <a:picLocks noChangeAspect="1"/>
                    </pic:cNvPicPr>
                  </pic:nvPicPr>
                  <pic:blipFill>
                    <a:blip r:embed="rId33"/>
                    <a:stretch>
                      <a:fillRect/>
                    </a:stretch>
                  </pic:blipFill>
                  <pic:spPr>
                    <a:xfrm>
                      <a:off x="0" y="0"/>
                      <a:ext cx="4448175" cy="13411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240" w:afterAutospacing="0" w:line="368" w:lineRule="atLeast"/>
        <w:ind w:left="0" w:right="0"/>
        <w:jc w:val="left"/>
        <w:rPr>
          <w:spacing w:val="8"/>
        </w:rPr>
      </w:pPr>
    </w:p>
    <w:p>
      <w:pPr>
        <w:keepNext w:val="0"/>
        <w:keepLines w:val="0"/>
        <w:widowControl/>
        <w:suppressLineNumbers w:val="0"/>
        <w:jc w:val="center"/>
        <w:rPr>
          <w:rStyle w:val="6"/>
          <w:rFonts w:ascii="宋体" w:hAnsi="宋体" w:eastAsia="宋体" w:cs="宋体"/>
          <w:color w:val="4472C4" w:themeColor="accent5"/>
          <w:kern w:val="0"/>
          <w:sz w:val="24"/>
          <w:szCs w:val="24"/>
          <w:highlight w:val="lightGray"/>
          <w:lang w:val="en-US" w:eastAsia="zh-CN" w:bidi="ar"/>
          <w14:textFill>
            <w14:solidFill>
              <w14:schemeClr w14:val="accent5"/>
            </w14:solidFill>
          </w14:textFill>
        </w:rPr>
      </w:pPr>
      <w:r>
        <w:rPr>
          <w:rStyle w:val="6"/>
          <w:rFonts w:ascii="宋体" w:hAnsi="宋体" w:eastAsia="宋体" w:cs="宋体"/>
          <w:color w:val="4472C4" w:themeColor="accent5"/>
          <w:kern w:val="0"/>
          <w:sz w:val="24"/>
          <w:szCs w:val="24"/>
          <w:highlight w:val="lightGray"/>
          <w:lang w:val="en-US" w:eastAsia="zh-CN" w:bidi="ar"/>
          <w14:textFill>
            <w14:solidFill>
              <w14:schemeClr w14:val="accent5"/>
            </w14:solidFill>
          </w14:textFill>
        </w:rPr>
        <w:drawing>
          <wp:inline distT="0" distB="0" distL="114300" distR="114300">
            <wp:extent cx="4853940" cy="9141460"/>
            <wp:effectExtent l="0" t="0" r="3810" b="2540"/>
            <wp:docPr id="47" name="图片 4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8"/>
                    <pic:cNvPicPr>
                      <a:picLocks noChangeAspect="1"/>
                    </pic:cNvPicPr>
                  </pic:nvPicPr>
                  <pic:blipFill>
                    <a:blip r:embed="rId34"/>
                    <a:stretch>
                      <a:fillRect/>
                    </a:stretch>
                  </pic:blipFill>
                  <pic:spPr>
                    <a:xfrm>
                      <a:off x="0" y="0"/>
                      <a:ext cx="4853940" cy="9141460"/>
                    </a:xfrm>
                    <a:prstGeom prst="rect">
                      <a:avLst/>
                    </a:prstGeom>
                  </pic:spPr>
                </pic:pic>
              </a:graphicData>
            </a:graphic>
          </wp:inline>
        </w:drawing>
      </w:r>
    </w:p>
    <w:p>
      <w:pPr>
        <w:keepNext w:val="0"/>
        <w:keepLines w:val="0"/>
        <w:widowControl/>
        <w:suppressLineNumbers w:val="0"/>
        <w:jc w:val="center"/>
        <w:rPr>
          <w:rStyle w:val="6"/>
          <w:rFonts w:ascii="宋体" w:hAnsi="宋体" w:eastAsia="宋体" w:cs="宋体"/>
          <w:color w:val="4472C4" w:themeColor="accent5"/>
          <w:kern w:val="0"/>
          <w:sz w:val="24"/>
          <w:szCs w:val="24"/>
          <w:highlight w:val="lightGray"/>
          <w:lang w:val="en-US" w:eastAsia="zh-CN" w:bidi="ar"/>
          <w14:textFill>
            <w14:solidFill>
              <w14:schemeClr w14:val="accent5"/>
            </w14:solidFill>
          </w14:textFill>
        </w:rPr>
      </w:pPr>
    </w:p>
    <w:p>
      <w:pPr>
        <w:keepNext w:val="0"/>
        <w:keepLines w:val="0"/>
        <w:widowControl/>
        <w:suppressLineNumbers w:val="0"/>
        <w:jc w:val="center"/>
        <w:rPr>
          <w:rStyle w:val="6"/>
          <w:rFonts w:ascii="宋体" w:hAnsi="宋体" w:eastAsia="宋体" w:cs="宋体"/>
          <w:color w:val="4472C4" w:themeColor="accent5"/>
          <w:kern w:val="0"/>
          <w:sz w:val="24"/>
          <w:szCs w:val="24"/>
          <w:highlight w:val="lightGray"/>
          <w:lang w:val="en-US" w:eastAsia="zh-CN" w:bidi="ar"/>
          <w14:textFill>
            <w14:solidFill>
              <w14:schemeClr w14:val="accent5"/>
            </w14:solidFill>
          </w14:textFill>
        </w:rPr>
      </w:pPr>
      <w:r>
        <w:rPr>
          <w:rStyle w:val="6"/>
          <w:rFonts w:ascii="宋体" w:hAnsi="宋体" w:eastAsia="宋体" w:cs="宋体"/>
          <w:color w:val="4472C4" w:themeColor="accent5"/>
          <w:kern w:val="0"/>
          <w:sz w:val="24"/>
          <w:szCs w:val="24"/>
          <w:highlight w:val="lightGray"/>
          <w:lang w:val="en-US" w:eastAsia="zh-CN" w:bidi="ar"/>
          <w14:textFill>
            <w14:solidFill>
              <w14:schemeClr w14:val="accent5"/>
            </w14:solidFill>
          </w14:textFill>
        </w:rPr>
        <w:drawing>
          <wp:inline distT="0" distB="0" distL="114300" distR="114300">
            <wp:extent cx="5139690" cy="8524240"/>
            <wp:effectExtent l="0" t="0" r="3810" b="10160"/>
            <wp:docPr id="52" name="图片 5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1"/>
                    <pic:cNvPicPr>
                      <a:picLocks noChangeAspect="1"/>
                    </pic:cNvPicPr>
                  </pic:nvPicPr>
                  <pic:blipFill>
                    <a:blip r:embed="rId35"/>
                    <a:stretch>
                      <a:fillRect/>
                    </a:stretch>
                  </pic:blipFill>
                  <pic:spPr>
                    <a:xfrm>
                      <a:off x="0" y="0"/>
                      <a:ext cx="5139690" cy="8524240"/>
                    </a:xfrm>
                    <a:prstGeom prst="rect">
                      <a:avLst/>
                    </a:prstGeom>
                  </pic:spPr>
                </pic:pic>
              </a:graphicData>
            </a:graphic>
          </wp:inline>
        </w:drawing>
      </w:r>
    </w:p>
    <w:p>
      <w:pPr>
        <w:keepNext w:val="0"/>
        <w:keepLines w:val="0"/>
        <w:widowControl/>
        <w:suppressLineNumbers w:val="0"/>
        <w:jc w:val="center"/>
        <w:rPr>
          <w:rStyle w:val="6"/>
          <w:rFonts w:ascii="宋体" w:hAnsi="宋体" w:eastAsia="宋体" w:cs="宋体"/>
          <w:color w:val="4472C4" w:themeColor="accent5"/>
          <w:kern w:val="0"/>
          <w:sz w:val="24"/>
          <w:szCs w:val="24"/>
          <w:highlight w:val="lightGray"/>
          <w:lang w:val="en-US" w:eastAsia="zh-CN" w:bidi="ar"/>
          <w14:textFill>
            <w14:solidFill>
              <w14:schemeClr w14:val="accent5"/>
            </w14:solidFill>
          </w14:textFill>
        </w:rPr>
      </w:pPr>
      <w:r>
        <w:rPr>
          <w:rStyle w:val="6"/>
          <w:rFonts w:ascii="宋体" w:hAnsi="宋体" w:eastAsia="宋体" w:cs="宋体"/>
          <w:color w:val="4472C4" w:themeColor="accent5"/>
          <w:kern w:val="0"/>
          <w:sz w:val="24"/>
          <w:szCs w:val="24"/>
          <w:highlight w:val="lightGray"/>
          <w:lang w:val="en-US" w:eastAsia="zh-CN" w:bidi="ar"/>
          <w14:textFill>
            <w14:solidFill>
              <w14:schemeClr w14:val="accent5"/>
            </w14:solidFill>
          </w14:textFill>
        </w:rPr>
        <w:drawing>
          <wp:inline distT="0" distB="0" distL="114300" distR="114300">
            <wp:extent cx="5016500" cy="9490075"/>
            <wp:effectExtent l="0" t="0" r="12700" b="15875"/>
            <wp:docPr id="50" name="图片 5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9"/>
                    <pic:cNvPicPr>
                      <a:picLocks noChangeAspect="1"/>
                    </pic:cNvPicPr>
                  </pic:nvPicPr>
                  <pic:blipFill>
                    <a:blip r:embed="rId36"/>
                    <a:stretch>
                      <a:fillRect/>
                    </a:stretch>
                  </pic:blipFill>
                  <pic:spPr>
                    <a:xfrm>
                      <a:off x="0" y="0"/>
                      <a:ext cx="5016500" cy="9490075"/>
                    </a:xfrm>
                    <a:prstGeom prst="rect">
                      <a:avLst/>
                    </a:prstGeom>
                  </pic:spPr>
                </pic:pic>
              </a:graphicData>
            </a:graphic>
          </wp:inline>
        </w:drawing>
      </w:r>
    </w:p>
    <w:p>
      <w:pPr>
        <w:keepNext w:val="0"/>
        <w:keepLines w:val="0"/>
        <w:widowControl/>
        <w:suppressLineNumbers w:val="0"/>
        <w:jc w:val="left"/>
        <w:rPr>
          <w:color w:val="4472C4" w:themeColor="accent5"/>
          <w:highlight w:val="lightGray"/>
          <w14:textFill>
            <w14:solidFill>
              <w14:schemeClr w14:val="accent5"/>
            </w14:solidFill>
          </w14:textFill>
        </w:rPr>
      </w:pPr>
      <w:r>
        <w:rPr>
          <w:rStyle w:val="6"/>
          <w:rFonts w:ascii="宋体" w:hAnsi="宋体" w:eastAsia="宋体" w:cs="宋体"/>
          <w:color w:val="4472C4" w:themeColor="accent5"/>
          <w:kern w:val="0"/>
          <w:sz w:val="24"/>
          <w:szCs w:val="24"/>
          <w:highlight w:val="lightGray"/>
          <w:lang w:val="en-US" w:eastAsia="zh-CN" w:bidi="ar"/>
          <w14:textFill>
            <w14:solidFill>
              <w14:schemeClr w14:val="accent5"/>
            </w14:solidFill>
          </w14:textFill>
        </w:rPr>
        <w:t>07天津</w:t>
      </w:r>
      <w:bookmarkStart w:id="0" w:name="_GoBack"/>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r>
        <w:rPr>
          <w:sz w:val="24"/>
          <w:szCs w:val="24"/>
        </w:rPr>
        <w:t>2022年9月，天津市住建委对《天津市建筑节能技术、工艺、材料、设备的推广、限制和禁止使用目录（2021版）》进行第二次公示。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Style w:val="6"/>
          <w:sz w:val="21"/>
          <w:szCs w:val="21"/>
        </w:rPr>
      </w:pPr>
      <w:r>
        <w:rPr>
          <w:rStyle w:val="6"/>
          <w:rFonts w:ascii="宋体" w:hAnsi="宋体" w:eastAsia="宋体" w:cs="宋体"/>
          <w:kern w:val="0"/>
          <w:sz w:val="24"/>
          <w:szCs w:val="24"/>
          <w:lang w:val="en-US" w:eastAsia="zh-CN" w:bidi="ar"/>
        </w:rPr>
        <w:t>禁止使用的技术、工艺、材料和设备（共16项）</w:t>
      </w:r>
      <w:r>
        <w:rPr>
          <w:rFonts w:ascii="宋体" w:hAnsi="宋体" w:eastAsia="宋体" w:cs="宋体"/>
          <w:kern w:val="0"/>
          <w:sz w:val="24"/>
          <w:szCs w:val="24"/>
          <w:lang w:val="en-US" w:eastAsia="zh-CN" w:bidi="ar"/>
        </w:rPr>
        <w:br w:type="textWrapping"/>
      </w:r>
      <w:r>
        <w:rPr>
          <w:rFonts w:hint="eastAsia" w:ascii="宋体" w:hAnsi="宋体" w:eastAsia="宋体" w:cs="宋体"/>
          <w:kern w:val="0"/>
          <w:sz w:val="21"/>
          <w:szCs w:val="21"/>
          <w:lang w:val="en-US" w:eastAsia="zh-CN" w:bidi="ar"/>
        </w:rPr>
        <w:t>1.</w:t>
      </w:r>
      <w:r>
        <w:rPr>
          <w:rStyle w:val="6"/>
          <w:sz w:val="21"/>
          <w:szCs w:val="21"/>
        </w:rPr>
        <w:t>使用现场水泥拌砂浆粘贴外墙饰面砖工艺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Fonts w:hint="eastAsia"/>
          <w:sz w:val="21"/>
          <w:szCs w:val="21"/>
          <w:lang w:val="en-US" w:eastAsia="zh-CN"/>
        </w:rPr>
        <w:t>2.</w:t>
      </w:r>
      <w:r>
        <w:rPr>
          <w:sz w:val="21"/>
          <w:szCs w:val="21"/>
        </w:rPr>
        <w:t>以粘土为原料制成的墙体材料和砌筑材料（抢险救灾工程；文物建筑、历史风貌等房屋修缮工程除外）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3.</w:t>
      </w:r>
      <w:r>
        <w:rPr>
          <w:sz w:val="21"/>
          <w:szCs w:val="21"/>
        </w:rPr>
        <w:t>无砂大孔陶粒混凝土空心砌块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4.</w:t>
      </w:r>
      <w:r>
        <w:rPr>
          <w:sz w:val="21"/>
          <w:szCs w:val="21"/>
        </w:rPr>
        <w:t>含有石棉纤维、未经防腐和防虫蛀处理的植物纤维墙体材料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5.</w:t>
      </w:r>
      <w:r>
        <w:rPr>
          <w:sz w:val="21"/>
          <w:szCs w:val="21"/>
        </w:rPr>
        <w:t>手工成型的GRC轻质隔墙板（不含异型）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6.</w:t>
      </w:r>
      <w:r>
        <w:rPr>
          <w:sz w:val="21"/>
          <w:szCs w:val="21"/>
        </w:rPr>
        <w:t>使用非耐碱玻纤、非低碱水泥生产的玻纤增强水泥空心条板（GRC）</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7.</w:t>
      </w:r>
      <w:r>
        <w:rPr>
          <w:sz w:val="21"/>
          <w:szCs w:val="21"/>
        </w:rPr>
        <w:t>厚度＜90mm建筑轻质隔墙条板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8.</w:t>
      </w:r>
      <w:r>
        <w:rPr>
          <w:sz w:val="21"/>
          <w:szCs w:val="21"/>
        </w:rPr>
        <w:t>采用六溴环十二烷为阻燃剂生产的保温材料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9.</w:t>
      </w:r>
      <w:r>
        <w:rPr>
          <w:sz w:val="21"/>
          <w:szCs w:val="21"/>
        </w:rPr>
        <w:t>芯材为非不燃材料的金属夹芯复合板材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10.</w:t>
      </w:r>
      <w:r>
        <w:rPr>
          <w:sz w:val="21"/>
          <w:szCs w:val="21"/>
        </w:rPr>
        <w:t>聚合物有效成分含量＜2.0%的胶粘剂</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rPr>
          <w:sz w:val="21"/>
          <w:szCs w:val="21"/>
        </w:rPr>
      </w:pPr>
      <w:r>
        <w:rPr>
          <w:rFonts w:hint="eastAsia"/>
          <w:sz w:val="21"/>
          <w:szCs w:val="21"/>
          <w:lang w:val="en-US" w:eastAsia="zh-CN"/>
        </w:rPr>
        <w:t>11.</w:t>
      </w:r>
      <w:r>
        <w:rPr>
          <w:rFonts w:ascii="Arial" w:hAnsi="Arial" w:eastAsia="Arial" w:cs="Arial"/>
          <w:i w:val="0"/>
          <w:caps w:val="0"/>
          <w:color w:val="222222"/>
          <w:spacing w:val="8"/>
          <w:sz w:val="21"/>
          <w:szCs w:val="21"/>
          <w:bdr w:val="none" w:color="auto" w:sz="0" w:space="0"/>
          <w:shd w:val="clear" w:fill="FFFFFF"/>
        </w:rPr>
        <w:t>聚合物有效成分含量＜3.0%的抹面胶浆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12.</w:t>
      </w:r>
      <w:r>
        <w:rPr>
          <w:sz w:val="21"/>
          <w:szCs w:val="21"/>
        </w:rPr>
        <w:t>立窑水泥袋装水泥（特种水泥；抢险救灾工程；文物建筑、历史风貌等房屋</w:t>
      </w:r>
      <w:r>
        <w:rPr>
          <w:rFonts w:hint="eastAsia"/>
          <w:sz w:val="21"/>
          <w:szCs w:val="21"/>
          <w:lang w:val="en-US" w:eastAsia="zh-CN"/>
        </w:rPr>
        <w:t>1</w:t>
      </w:r>
      <w:r>
        <w:rPr>
          <w:sz w:val="21"/>
          <w:szCs w:val="21"/>
        </w:rPr>
        <w:t>修缮工程除外）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13.</w:t>
      </w:r>
      <w:r>
        <w:rPr>
          <w:sz w:val="21"/>
          <w:szCs w:val="21"/>
        </w:rPr>
        <w:t>现场搅拌混凝土和砂浆（特种水泥；抢险救灾工程；文物建筑、历史风貌等房屋修缮工程除外）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14.</w:t>
      </w:r>
      <w:r>
        <w:rPr>
          <w:sz w:val="21"/>
          <w:szCs w:val="21"/>
        </w:rPr>
        <w:t>铝合金型材PVC隔热条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sz w:val="21"/>
          <w:szCs w:val="21"/>
          <w:lang w:val="en-US" w:eastAsia="zh-CN"/>
        </w:rPr>
        <w:t>15.</w:t>
      </w:r>
      <w:r>
        <w:rPr>
          <w:sz w:val="21"/>
          <w:szCs w:val="21"/>
        </w:rPr>
        <w:t>80系列以下塑料推拉窗和80系列以上滑轨高度≤25mm系列型材制做的塑料推拉窗</w:t>
      </w:r>
    </w:p>
    <w:p>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sz w:val="21"/>
          <w:szCs w:val="21"/>
        </w:rPr>
        <w:t>灰铸铁长翼型散热器</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center"/>
        <w:textAlignment w:val="auto"/>
      </w:pPr>
      <w:r>
        <w:rPr>
          <w:rFonts w:ascii="宋体" w:hAnsi="宋体" w:eastAsia="宋体" w:cs="宋体"/>
          <w:kern w:val="0"/>
          <w:sz w:val="24"/>
          <w:szCs w:val="24"/>
          <w:lang w:val="en-US" w:eastAsia="zh-CN" w:bidi="ar"/>
        </w:rPr>
        <w:br w:type="textWrapping"/>
      </w:r>
      <w:r>
        <w:rPr>
          <w:rStyle w:val="6"/>
          <w:rFonts w:ascii="宋体" w:hAnsi="宋体" w:eastAsia="宋体" w:cs="宋体"/>
          <w:color w:val="4472C4" w:themeColor="accent5"/>
          <w:kern w:val="0"/>
          <w:sz w:val="24"/>
          <w:szCs w:val="24"/>
          <w:highlight w:val="none"/>
          <w:lang w:val="en-US" w:eastAsia="zh-CN" w:bidi="ar"/>
          <w14:textFill>
            <w14:solidFill>
              <w14:schemeClr w14:val="accent5"/>
            </w14:solidFill>
          </w14:textFill>
        </w:rPr>
        <w:t>限制使用的技术、工艺、材料和设备（共29项）</w:t>
      </w:r>
      <w:r>
        <w:rPr>
          <w:rFonts w:ascii="宋体" w:hAnsi="宋体" w:eastAsia="宋体" w:cs="宋体"/>
          <w:kern w:val="0"/>
          <w:sz w:val="24"/>
          <w:szCs w:val="24"/>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sz w:val="24"/>
          <w:szCs w:val="24"/>
        </w:rPr>
        <w:t>限制使用的技术和工艺：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w:t>
      </w:r>
      <w:r>
        <w:rPr>
          <w:sz w:val="24"/>
          <w:szCs w:val="24"/>
        </w:rPr>
        <w:t>地下水水源热泵系统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sz w:val="24"/>
          <w:szCs w:val="24"/>
        </w:rPr>
        <w:t>限制使用的材料和设备：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w:t>
      </w:r>
      <w:r>
        <w:rPr>
          <w:sz w:val="24"/>
          <w:szCs w:val="24"/>
        </w:rPr>
        <w:t>烧结普通砖、烧结多孔砖（强度等级低于MU10）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2.</w:t>
      </w:r>
      <w:r>
        <w:rPr>
          <w:sz w:val="24"/>
          <w:szCs w:val="24"/>
        </w:rPr>
        <w:t>烧结普通砖、烧结多孔砖（强度等级低于MU15）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3.</w:t>
      </w:r>
      <w:r>
        <w:rPr>
          <w:sz w:val="24"/>
          <w:szCs w:val="24"/>
        </w:rPr>
        <w:t>蒸压普通砖、混凝土砖（强度等级低于MU15）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4.</w:t>
      </w:r>
      <w:r>
        <w:rPr>
          <w:sz w:val="24"/>
          <w:szCs w:val="24"/>
        </w:rPr>
        <w:t>蒸压普通砖、混凝土砖（强度等级低于MU20）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5.</w:t>
      </w:r>
      <w:r>
        <w:rPr>
          <w:sz w:val="24"/>
          <w:szCs w:val="24"/>
        </w:rPr>
        <w:t>普通、轻集料混凝土小型空心砌块（强度等级低于MU7.5）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6.</w:t>
      </w:r>
      <w:r>
        <w:rPr>
          <w:sz w:val="24"/>
          <w:szCs w:val="24"/>
        </w:rPr>
        <w:t>蒸压加气混凝土砌块（强度等级低于A5.0）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7.</w:t>
      </w:r>
      <w:r>
        <w:rPr>
          <w:sz w:val="24"/>
          <w:szCs w:val="24"/>
        </w:rPr>
        <w:t>轻集料混凝土小型空心砌块（强度等级低于MU3.5）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8.</w:t>
      </w:r>
      <w:r>
        <w:rPr>
          <w:sz w:val="24"/>
          <w:szCs w:val="24"/>
        </w:rPr>
        <w:t>轻集料混凝土小型空心砌块（强度等级低于MU5.0）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9.</w:t>
      </w:r>
      <w:r>
        <w:rPr>
          <w:sz w:val="24"/>
          <w:szCs w:val="24"/>
        </w:rPr>
        <w:t>蒸压加气混凝土砌块（强度等级低于A2.5）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10.</w:t>
      </w:r>
      <w:r>
        <w:rPr>
          <w:sz w:val="24"/>
          <w:szCs w:val="24"/>
        </w:rPr>
        <w:t>蒸压加气混凝土砌块（强度等级低于A3.5）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11.</w:t>
      </w:r>
      <w:r>
        <w:rPr>
          <w:sz w:val="24"/>
          <w:szCs w:val="24"/>
        </w:rPr>
        <w:t>烧结空心砖和空心砌块、石膏砌块（强度等级低于MU3.5）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12.</w:t>
      </w:r>
      <w:r>
        <w:rPr>
          <w:sz w:val="24"/>
          <w:szCs w:val="24"/>
        </w:rPr>
        <w:t>烧结空心砖和空心砌块、石膏砌块（强度等级低于MU5.0）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13.</w:t>
      </w:r>
      <w:r>
        <w:rPr>
          <w:sz w:val="24"/>
          <w:szCs w:val="24"/>
        </w:rPr>
        <w:t>氯氧镁墙材制品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sz w:val="24"/>
          <w:szCs w:val="24"/>
        </w:rPr>
      </w:pPr>
      <w:r>
        <w:rPr>
          <w:rFonts w:hint="eastAsia"/>
          <w:sz w:val="24"/>
          <w:szCs w:val="24"/>
          <w:lang w:val="en-US" w:eastAsia="zh-CN"/>
        </w:rPr>
        <w:t>14.</w:t>
      </w:r>
      <w:r>
        <w:rPr>
          <w:sz w:val="24"/>
          <w:szCs w:val="24"/>
        </w:rPr>
        <w:t>厚度≥90mm且＜120mm的建筑轻质隔墙板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15.</w:t>
      </w:r>
      <w:r>
        <w:rPr>
          <w:sz w:val="24"/>
          <w:szCs w:val="24"/>
        </w:rPr>
        <w:t>以页岩为原料制成的墙体材料和砌筑材料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16.</w:t>
      </w:r>
      <w:r>
        <w:rPr>
          <w:sz w:val="24"/>
          <w:szCs w:val="24"/>
        </w:rPr>
        <w:t>浆料类保温材料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17.</w:t>
      </w:r>
      <w:r>
        <w:rPr>
          <w:sz w:val="24"/>
          <w:szCs w:val="24"/>
        </w:rPr>
        <w:t>非耐碱型玻璃纤维网布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18.</w:t>
      </w:r>
      <w:r>
        <w:rPr>
          <w:sz w:val="24"/>
          <w:szCs w:val="24"/>
        </w:rPr>
        <w:t>矿渣棉、玻璃棉及其制品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19.</w:t>
      </w:r>
      <w:r>
        <w:rPr>
          <w:sz w:val="24"/>
          <w:szCs w:val="24"/>
        </w:rPr>
        <w:t>三腔及三腔以下结构型材产品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20.</w:t>
      </w:r>
      <w:r>
        <w:rPr>
          <w:sz w:val="24"/>
          <w:szCs w:val="24"/>
        </w:rPr>
        <w:t>隔热条宽度＜24mm的穿条式铝合金型材或隔热条宽度＜22mm的浇注式铝合金型材组装的门窗产品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21.</w:t>
      </w:r>
      <w:r>
        <w:rPr>
          <w:sz w:val="24"/>
          <w:szCs w:val="24"/>
        </w:rPr>
        <w:t>电直接加热设备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22.</w:t>
      </w:r>
      <w:r>
        <w:rPr>
          <w:sz w:val="24"/>
          <w:szCs w:val="24"/>
        </w:rPr>
        <w:t>内腔粘砂灰铸铁散热器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23.</w:t>
      </w:r>
      <w:r>
        <w:rPr>
          <w:sz w:val="24"/>
          <w:szCs w:val="24"/>
        </w:rPr>
        <w:t>钢制闭式串片散热器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24.</w:t>
      </w:r>
      <w:r>
        <w:rPr>
          <w:sz w:val="24"/>
          <w:szCs w:val="24"/>
        </w:rPr>
        <w:t>螺旋板式换热器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25.</w:t>
      </w:r>
      <w:r>
        <w:rPr>
          <w:sz w:val="24"/>
          <w:szCs w:val="24"/>
        </w:rPr>
        <w:t>白炽灯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26.</w:t>
      </w:r>
      <w:r>
        <w:rPr>
          <w:sz w:val="24"/>
          <w:szCs w:val="24"/>
        </w:rPr>
        <w:t>卤钨灯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rPr>
          <w:sz w:val="24"/>
          <w:szCs w:val="24"/>
        </w:rPr>
      </w:pPr>
      <w:r>
        <w:rPr>
          <w:rFonts w:hint="eastAsia"/>
          <w:sz w:val="24"/>
          <w:szCs w:val="24"/>
          <w:lang w:val="en-US" w:eastAsia="zh-CN"/>
        </w:rPr>
        <w:t>27.</w:t>
      </w:r>
      <w:r>
        <w:rPr>
          <w:sz w:val="24"/>
          <w:szCs w:val="24"/>
        </w:rPr>
        <w:t>荧光高压汞灯（包括自镇流荧光高压汞灯）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sz w:val="24"/>
          <w:szCs w:val="24"/>
          <w:lang w:val="en-US" w:eastAsia="zh-CN"/>
        </w:rPr>
        <w:t>28.</w:t>
      </w:r>
      <w:r>
        <w:rPr>
          <w:sz w:val="24"/>
          <w:szCs w:val="24"/>
        </w:rPr>
        <w:t>碘钨灯、卤素灯</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A67C57"/>
    <w:multiLevelType w:val="singleLevel"/>
    <w:tmpl w:val="EEA67C57"/>
    <w:lvl w:ilvl="0" w:tentative="0">
      <w:start w:val="16"/>
      <w:numFmt w:val="decimal"/>
      <w:lvlText w:val="%1."/>
      <w:lvlJc w:val="left"/>
      <w:pPr>
        <w:tabs>
          <w:tab w:val="left" w:pos="312"/>
        </w:tabs>
      </w:pPr>
    </w:lvl>
  </w:abstractNum>
  <w:abstractNum w:abstractNumId="1">
    <w:nsid w:val="F6A31FE8"/>
    <w:multiLevelType w:val="singleLevel"/>
    <w:tmpl w:val="F6A31FE8"/>
    <w:lvl w:ilvl="0" w:tentative="0">
      <w:start w:val="1"/>
      <w:numFmt w:val="decimal"/>
      <w:suff w:val="space"/>
      <w:lvlText w:val="%1."/>
      <w:lvlJc w:val="left"/>
    </w:lvl>
  </w:abstractNum>
  <w:abstractNum w:abstractNumId="2">
    <w:nsid w:val="16D462A0"/>
    <w:multiLevelType w:val="singleLevel"/>
    <w:tmpl w:val="16D462A0"/>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D62492"/>
    <w:rsid w:val="00C2296E"/>
    <w:rsid w:val="01E44EFF"/>
    <w:rsid w:val="08F82FC0"/>
    <w:rsid w:val="0A6A38B4"/>
    <w:rsid w:val="707154B4"/>
    <w:rsid w:val="7BD62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50</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2023-06-12T14:25:00Z</dcterms:created>
  <dc:creator>风</dc:creator>
  <cp:lastModifiedBy>风</cp:lastModifiedBy>
  <dcterms:modified xsi:type="dcterms:W3CDTF">2023-06-20T15:56:19Z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